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96F" w:rsidRDefault="0027396F" w:rsidP="00A50883">
      <w:pPr>
        <w:jc w:val="center"/>
        <w:rPr>
          <w:rFonts w:cs="Calibri"/>
          <w:sz w:val="28"/>
          <w:szCs w:val="24"/>
          <w:u w:val="single"/>
        </w:rPr>
      </w:pPr>
    </w:p>
    <w:p w:rsidR="00A50883" w:rsidRPr="00BD1608" w:rsidRDefault="00A50883" w:rsidP="00A50883">
      <w:pPr>
        <w:jc w:val="center"/>
        <w:rPr>
          <w:rFonts w:cs="Calibri"/>
          <w:sz w:val="23"/>
          <w:szCs w:val="23"/>
          <w:u w:val="single"/>
        </w:rPr>
      </w:pPr>
      <w:r w:rsidRPr="00BD1608">
        <w:rPr>
          <w:rFonts w:cs="Calibri"/>
          <w:sz w:val="23"/>
          <w:szCs w:val="23"/>
          <w:u w:val="single"/>
        </w:rPr>
        <w:t>Regularly Scheduled Series</w:t>
      </w:r>
    </w:p>
    <w:p w:rsidR="00A50883" w:rsidRPr="00BD1608" w:rsidRDefault="00A50883" w:rsidP="00A50883">
      <w:pPr>
        <w:jc w:val="center"/>
        <w:rPr>
          <w:rFonts w:cs="Calibri"/>
          <w:sz w:val="23"/>
          <w:szCs w:val="23"/>
        </w:rPr>
      </w:pPr>
      <w:r w:rsidRPr="00BD1608">
        <w:rPr>
          <w:rFonts w:cs="Calibri"/>
          <w:sz w:val="23"/>
          <w:szCs w:val="23"/>
        </w:rPr>
        <w:t>Psychiatry Grand Rounds</w:t>
      </w:r>
    </w:p>
    <w:p w:rsidR="00A50883" w:rsidRPr="00BD1608" w:rsidRDefault="00A50883" w:rsidP="00A50883">
      <w:pPr>
        <w:keepNext/>
        <w:keepLines/>
        <w:jc w:val="center"/>
        <w:outlineLvl w:val="1"/>
        <w:rPr>
          <w:rFonts w:eastAsiaTheme="majorEastAsia" w:cs="Calibri"/>
          <w:sz w:val="23"/>
          <w:szCs w:val="23"/>
        </w:rPr>
      </w:pPr>
      <w:r w:rsidRPr="00BD1608">
        <w:rPr>
          <w:rFonts w:eastAsiaTheme="majorEastAsia" w:cs="Calibri"/>
          <w:sz w:val="23"/>
          <w:szCs w:val="23"/>
        </w:rPr>
        <w:t>The University of Oklahoma</w:t>
      </w:r>
    </w:p>
    <w:p w:rsidR="00A50883" w:rsidRPr="00BD1608" w:rsidRDefault="00A50883" w:rsidP="00A50883">
      <w:pPr>
        <w:keepNext/>
        <w:keepLines/>
        <w:jc w:val="center"/>
        <w:outlineLvl w:val="1"/>
        <w:rPr>
          <w:rFonts w:eastAsiaTheme="majorEastAsia" w:cs="Calibri"/>
          <w:sz w:val="23"/>
          <w:szCs w:val="23"/>
        </w:rPr>
      </w:pPr>
      <w:r w:rsidRPr="00BD1608">
        <w:rPr>
          <w:rFonts w:eastAsiaTheme="majorEastAsia" w:cs="Calibri"/>
          <w:sz w:val="23"/>
          <w:szCs w:val="23"/>
        </w:rPr>
        <w:t>Tulsa School of Community Medicine</w:t>
      </w:r>
    </w:p>
    <w:p w:rsidR="00A50883" w:rsidRPr="00BD1608" w:rsidRDefault="00A50883" w:rsidP="00A50883">
      <w:pPr>
        <w:jc w:val="center"/>
        <w:rPr>
          <w:rFonts w:cs="Calibri"/>
          <w:color w:val="000000"/>
          <w:sz w:val="23"/>
          <w:szCs w:val="23"/>
        </w:rPr>
      </w:pPr>
      <w:r w:rsidRPr="00BD1608">
        <w:rPr>
          <w:rFonts w:cs="Calibri"/>
          <w:sz w:val="23"/>
          <w:szCs w:val="23"/>
        </w:rPr>
        <w:t>Course No. 22D13</w:t>
      </w:r>
    </w:p>
    <w:p w:rsidR="00A50883" w:rsidRPr="00BD1608" w:rsidRDefault="00A50883" w:rsidP="00A50883">
      <w:pPr>
        <w:jc w:val="center"/>
        <w:rPr>
          <w:rFonts w:cs="Calibri"/>
          <w:color w:val="000000"/>
          <w:sz w:val="23"/>
          <w:szCs w:val="23"/>
        </w:rPr>
      </w:pPr>
    </w:p>
    <w:p w:rsidR="00A50883" w:rsidRPr="00BD1608" w:rsidRDefault="00BE62C8" w:rsidP="00A50883">
      <w:pPr>
        <w:jc w:val="center"/>
        <w:rPr>
          <w:rFonts w:cs="Calibri"/>
          <w:sz w:val="23"/>
          <w:szCs w:val="23"/>
        </w:rPr>
      </w:pPr>
      <w:r>
        <w:rPr>
          <w:rFonts w:cs="Calibri"/>
          <w:sz w:val="23"/>
          <w:szCs w:val="23"/>
        </w:rPr>
        <w:t>Wednesday, September 29</w:t>
      </w:r>
      <w:r w:rsidR="00A50883" w:rsidRPr="00BD1608">
        <w:rPr>
          <w:rFonts w:cs="Calibri"/>
          <w:sz w:val="23"/>
          <w:szCs w:val="23"/>
        </w:rPr>
        <w:t xml:space="preserve">, 2021 </w:t>
      </w:r>
    </w:p>
    <w:p w:rsidR="00A50883" w:rsidRPr="00BD1608" w:rsidRDefault="00A50883" w:rsidP="00A50883">
      <w:pPr>
        <w:jc w:val="center"/>
        <w:rPr>
          <w:rFonts w:cs="Calibri"/>
          <w:sz w:val="23"/>
          <w:szCs w:val="23"/>
        </w:rPr>
      </w:pPr>
      <w:r w:rsidRPr="00BD1608">
        <w:rPr>
          <w:rFonts w:cs="Calibri"/>
          <w:sz w:val="23"/>
          <w:szCs w:val="23"/>
        </w:rPr>
        <w:t>1:00 p.m. - 1:55 p.m.</w:t>
      </w:r>
    </w:p>
    <w:p w:rsidR="00D20839" w:rsidRDefault="00D20839" w:rsidP="003A5025">
      <w:pPr>
        <w:jc w:val="center"/>
        <w:rPr>
          <w:sz w:val="23"/>
          <w:szCs w:val="23"/>
        </w:rPr>
      </w:pPr>
    </w:p>
    <w:p w:rsidR="00BE62C8" w:rsidRDefault="00BE62C8" w:rsidP="003A5025">
      <w:pPr>
        <w:jc w:val="center"/>
        <w:rPr>
          <w:sz w:val="23"/>
          <w:szCs w:val="23"/>
        </w:rPr>
      </w:pPr>
      <w:r>
        <w:rPr>
          <w:sz w:val="23"/>
          <w:szCs w:val="23"/>
        </w:rPr>
        <w:t xml:space="preserve">Benzodiazepine Prescribing and Deprescribing </w:t>
      </w:r>
    </w:p>
    <w:p w:rsidR="00BE62C8" w:rsidRDefault="00BE62C8" w:rsidP="003A5025">
      <w:pPr>
        <w:jc w:val="center"/>
        <w:rPr>
          <w:sz w:val="23"/>
          <w:szCs w:val="23"/>
        </w:rPr>
      </w:pPr>
    </w:p>
    <w:p w:rsidR="00BE62C8" w:rsidRDefault="00BE62C8" w:rsidP="003A5025">
      <w:pPr>
        <w:jc w:val="center"/>
        <w:rPr>
          <w:sz w:val="23"/>
          <w:szCs w:val="23"/>
        </w:rPr>
      </w:pPr>
      <w:r>
        <w:rPr>
          <w:sz w:val="23"/>
          <w:szCs w:val="23"/>
        </w:rPr>
        <w:t>Jeff Owen, D.O.</w:t>
      </w:r>
    </w:p>
    <w:p w:rsidR="00BE62C8" w:rsidRDefault="00BE62C8" w:rsidP="003A5025">
      <w:pPr>
        <w:jc w:val="center"/>
        <w:rPr>
          <w:sz w:val="23"/>
          <w:szCs w:val="23"/>
        </w:rPr>
      </w:pPr>
      <w:r>
        <w:rPr>
          <w:sz w:val="23"/>
          <w:szCs w:val="23"/>
        </w:rPr>
        <w:t xml:space="preserve">Clinical Assistant Professor </w:t>
      </w:r>
    </w:p>
    <w:p w:rsidR="008E4B02" w:rsidRPr="00BD1608" w:rsidRDefault="008E4B02" w:rsidP="003A5025">
      <w:pPr>
        <w:jc w:val="center"/>
        <w:rPr>
          <w:sz w:val="23"/>
          <w:szCs w:val="23"/>
        </w:rPr>
      </w:pPr>
      <w:r>
        <w:rPr>
          <w:sz w:val="23"/>
          <w:szCs w:val="23"/>
        </w:rPr>
        <w:t>Department of Psychiatry</w:t>
      </w:r>
    </w:p>
    <w:p w:rsidR="008E4B02" w:rsidRPr="00BD1608" w:rsidRDefault="008E4B02" w:rsidP="008E4B02">
      <w:pPr>
        <w:keepNext/>
        <w:keepLines/>
        <w:jc w:val="center"/>
        <w:outlineLvl w:val="1"/>
        <w:rPr>
          <w:rFonts w:eastAsiaTheme="majorEastAsia" w:cs="Calibri"/>
          <w:sz w:val="23"/>
          <w:szCs w:val="23"/>
        </w:rPr>
      </w:pPr>
      <w:r w:rsidRPr="00BD1608">
        <w:rPr>
          <w:rFonts w:eastAsiaTheme="majorEastAsia" w:cs="Calibri"/>
          <w:sz w:val="23"/>
          <w:szCs w:val="23"/>
        </w:rPr>
        <w:t>Tulsa School of Community Medicine</w:t>
      </w:r>
    </w:p>
    <w:p w:rsidR="00294E29" w:rsidRPr="00BD1608" w:rsidRDefault="00294E29" w:rsidP="00294E29">
      <w:pPr>
        <w:jc w:val="center"/>
        <w:rPr>
          <w:rFonts w:ascii="Comic Sans MS" w:hAnsi="Comic Sans MS"/>
          <w:color w:val="000000"/>
          <w:sz w:val="23"/>
          <w:szCs w:val="23"/>
        </w:rPr>
      </w:pPr>
    </w:p>
    <w:p w:rsidR="003A5025" w:rsidRPr="004555D9" w:rsidRDefault="00294E29" w:rsidP="00BE62C8">
      <w:r w:rsidRPr="004555D9">
        <w:rPr>
          <w:rFonts w:asciiTheme="minorHAnsi" w:hAnsiTheme="minorHAnsi"/>
          <w:b/>
          <w:color w:val="000000"/>
        </w:rPr>
        <w:t>Gaps:</w:t>
      </w:r>
      <w:r w:rsidR="00E87C1D" w:rsidRPr="004555D9">
        <w:rPr>
          <w:rFonts w:asciiTheme="minorHAnsi" w:hAnsiTheme="minorHAnsi"/>
          <w:b/>
          <w:color w:val="000000"/>
        </w:rPr>
        <w:t xml:space="preserve"> </w:t>
      </w:r>
      <w:r w:rsidR="00997A70" w:rsidRPr="004555D9">
        <w:rPr>
          <w:rFonts w:asciiTheme="minorHAnsi" w:eastAsia="Calibri" w:hAnsiTheme="minorHAnsi" w:cstheme="minorHAnsi"/>
          <w:color w:val="000000"/>
        </w:rPr>
        <w:t xml:space="preserve">Practitioners may be unaware </w:t>
      </w:r>
      <w:r w:rsidR="00A03652">
        <w:rPr>
          <w:rFonts w:asciiTheme="minorHAnsi" w:eastAsia="Calibri" w:hAnsiTheme="minorHAnsi" w:cstheme="minorHAnsi"/>
          <w:color w:val="000000"/>
        </w:rPr>
        <w:t xml:space="preserve">of the </w:t>
      </w:r>
      <w:r w:rsidR="00A03652">
        <w:rPr>
          <w:rFonts w:eastAsia="Times New Roman"/>
        </w:rPr>
        <w:t xml:space="preserve">indications for prescribing/deprescribing benzodiazepines.   </w:t>
      </w:r>
    </w:p>
    <w:p w:rsidR="003A5025" w:rsidRDefault="003A5025" w:rsidP="00294E29">
      <w:pPr>
        <w:rPr>
          <w:rFonts w:asciiTheme="minorHAnsi" w:hAnsiTheme="minorHAnsi"/>
          <w:b/>
          <w:color w:val="000000"/>
          <w:sz w:val="24"/>
          <w:szCs w:val="24"/>
        </w:rPr>
      </w:pPr>
    </w:p>
    <w:p w:rsidR="00294E29" w:rsidRDefault="00294E29" w:rsidP="00294E29">
      <w:pPr>
        <w:rPr>
          <w:rFonts w:asciiTheme="minorHAnsi" w:hAnsiTheme="minorHAnsi"/>
          <w:color w:val="000000"/>
        </w:rPr>
      </w:pPr>
      <w:r w:rsidRPr="003A5025">
        <w:rPr>
          <w:rFonts w:asciiTheme="minorHAnsi" w:hAnsiTheme="minorHAnsi"/>
          <w:b/>
          <w:color w:val="000000"/>
        </w:rPr>
        <w:t>Learning Objectives</w:t>
      </w:r>
      <w:r w:rsidR="00E87C1D" w:rsidRPr="003A5025">
        <w:rPr>
          <w:rFonts w:asciiTheme="minorHAnsi" w:hAnsiTheme="minorHAnsi"/>
          <w:b/>
          <w:color w:val="000000"/>
        </w:rPr>
        <w:t xml:space="preserve">: </w:t>
      </w:r>
      <w:r w:rsidRPr="003A5025">
        <w:rPr>
          <w:rFonts w:asciiTheme="minorHAnsi" w:hAnsiTheme="minorHAnsi"/>
          <w:color w:val="000000"/>
        </w:rPr>
        <w:t>Upon completion of this session, participants will improve their competence and performance by being able to:</w:t>
      </w:r>
    </w:p>
    <w:p w:rsidR="00BE62C8" w:rsidRPr="003A5025" w:rsidRDefault="00BE62C8" w:rsidP="00294E29">
      <w:pPr>
        <w:rPr>
          <w:rFonts w:asciiTheme="minorHAnsi" w:hAnsiTheme="minorHAnsi"/>
          <w:color w:val="000000"/>
        </w:rPr>
      </w:pPr>
    </w:p>
    <w:p w:rsidR="00A03652" w:rsidRDefault="00A03652" w:rsidP="00BE62C8">
      <w:pPr>
        <w:rPr>
          <w:rFonts w:eastAsia="Times New Roman"/>
        </w:rPr>
      </w:pPr>
      <w:r>
        <w:rPr>
          <w:rFonts w:eastAsia="Times New Roman"/>
        </w:rPr>
        <w:t>Explain the correct mechanism of action for benzodiazepines</w:t>
      </w:r>
    </w:p>
    <w:p w:rsidR="00A03652" w:rsidRDefault="00A03652" w:rsidP="00BE62C8">
      <w:pPr>
        <w:rPr>
          <w:rFonts w:eastAsia="Times New Roman"/>
        </w:rPr>
      </w:pPr>
    </w:p>
    <w:p w:rsidR="00BE62C8" w:rsidRDefault="008E4B02" w:rsidP="00BE62C8">
      <w:pPr>
        <w:rPr>
          <w:rFonts w:eastAsia="Times New Roman"/>
        </w:rPr>
      </w:pPr>
      <w:r>
        <w:rPr>
          <w:rFonts w:eastAsia="Times New Roman"/>
        </w:rPr>
        <w:t>I</w:t>
      </w:r>
      <w:r w:rsidR="00BE62C8">
        <w:rPr>
          <w:rFonts w:eastAsia="Times New Roman"/>
        </w:rPr>
        <w:t>dentify appropriat</w:t>
      </w:r>
      <w:r w:rsidR="006E4076">
        <w:rPr>
          <w:rFonts w:eastAsia="Times New Roman"/>
        </w:rPr>
        <w:t xml:space="preserve">e indications for prescribing </w:t>
      </w:r>
      <w:r w:rsidR="00BE62C8">
        <w:rPr>
          <w:rFonts w:eastAsia="Times New Roman"/>
        </w:rPr>
        <w:t>benzodiazepines.</w:t>
      </w:r>
    </w:p>
    <w:p w:rsidR="008E4B02" w:rsidRDefault="008E4B02" w:rsidP="00BE62C8">
      <w:pPr>
        <w:rPr>
          <w:rFonts w:eastAsia="Times New Roman"/>
        </w:rPr>
      </w:pPr>
    </w:p>
    <w:p w:rsidR="00BE62C8" w:rsidRDefault="008E4B02" w:rsidP="00BE62C8">
      <w:pPr>
        <w:rPr>
          <w:rFonts w:eastAsia="Times New Roman"/>
        </w:rPr>
      </w:pPr>
      <w:bookmarkStart w:id="0" w:name="_GoBack"/>
      <w:r>
        <w:rPr>
          <w:rFonts w:eastAsia="Times New Roman"/>
        </w:rPr>
        <w:t>Explain how to de</w:t>
      </w:r>
      <w:r w:rsidR="00BE62C8">
        <w:rPr>
          <w:rFonts w:eastAsia="Times New Roman"/>
        </w:rPr>
        <w:t xml:space="preserve">prescribe </w:t>
      </w:r>
      <w:r>
        <w:rPr>
          <w:rFonts w:eastAsia="Times New Roman"/>
        </w:rPr>
        <w:t>long-term</w:t>
      </w:r>
      <w:r w:rsidR="00BE62C8">
        <w:rPr>
          <w:rFonts w:eastAsia="Times New Roman"/>
        </w:rPr>
        <w:t xml:space="preserve"> benzodiazepine use patients safely.</w:t>
      </w:r>
    </w:p>
    <w:bookmarkEnd w:id="0"/>
    <w:p w:rsidR="00997A70" w:rsidRDefault="00997A70" w:rsidP="00997A70"/>
    <w:p w:rsidR="00884FE8" w:rsidRPr="00D20839" w:rsidRDefault="00884FE8" w:rsidP="00977EB6">
      <w:pPr>
        <w:rPr>
          <w:rFonts w:asciiTheme="minorHAnsi" w:hAnsiTheme="minorHAnsi"/>
          <w:color w:val="000000"/>
          <w:sz w:val="21"/>
          <w:szCs w:val="21"/>
        </w:rPr>
      </w:pPr>
      <w:r w:rsidRPr="00D20839">
        <w:rPr>
          <w:rFonts w:asciiTheme="minorHAnsi" w:hAnsiTheme="minorHAnsi"/>
          <w:b/>
          <w:bCs/>
          <w:color w:val="000000"/>
          <w:sz w:val="21"/>
          <w:szCs w:val="21"/>
        </w:rPr>
        <w:t>Accreditation Statement:</w:t>
      </w:r>
      <w:r w:rsidRPr="00D20839">
        <w:rPr>
          <w:rFonts w:asciiTheme="minorHAnsi" w:hAnsiTheme="minorHAnsi"/>
          <w:color w:val="000000"/>
          <w:sz w:val="21"/>
          <w:szCs w:val="21"/>
        </w:rPr>
        <w:t xml:space="preserve"> The University of Oklahoma College of Medicine is accredited by the Accreditation Council for Continuing Medical Education (ACCME) to provide continuing medical education for physicians. </w:t>
      </w:r>
    </w:p>
    <w:p w:rsidR="00896743" w:rsidRPr="00D20839" w:rsidRDefault="00896743" w:rsidP="00977EB6">
      <w:pPr>
        <w:rPr>
          <w:rFonts w:asciiTheme="minorHAnsi" w:hAnsiTheme="minorHAnsi"/>
          <w:color w:val="000000"/>
          <w:sz w:val="21"/>
          <w:szCs w:val="21"/>
        </w:rPr>
      </w:pPr>
    </w:p>
    <w:p w:rsidR="00884FE8" w:rsidRPr="00D20839" w:rsidRDefault="00884FE8" w:rsidP="00977EB6">
      <w:pPr>
        <w:rPr>
          <w:rFonts w:asciiTheme="minorHAnsi" w:hAnsiTheme="minorHAnsi"/>
          <w:color w:val="000000"/>
          <w:sz w:val="21"/>
          <w:szCs w:val="21"/>
        </w:rPr>
      </w:pPr>
      <w:r w:rsidRPr="00D20839">
        <w:rPr>
          <w:rFonts w:asciiTheme="minorHAnsi" w:hAnsiTheme="minorHAnsi"/>
          <w:color w:val="000000"/>
          <w:sz w:val="21"/>
          <w:szCs w:val="21"/>
        </w:rPr>
        <w:t>The University of Oklahoma College of Medicine designates this live activity for a maximum of 1.</w:t>
      </w:r>
      <w:r w:rsidR="00341461" w:rsidRPr="00D20839">
        <w:rPr>
          <w:rFonts w:asciiTheme="minorHAnsi" w:hAnsiTheme="minorHAnsi"/>
          <w:color w:val="000000"/>
          <w:sz w:val="21"/>
          <w:szCs w:val="21"/>
        </w:rPr>
        <w:t>0</w:t>
      </w:r>
      <w:r w:rsidRPr="00D20839">
        <w:rPr>
          <w:rFonts w:asciiTheme="minorHAnsi" w:hAnsiTheme="minorHAnsi"/>
          <w:color w:val="000000"/>
          <w:sz w:val="21"/>
          <w:szCs w:val="21"/>
        </w:rPr>
        <w:t xml:space="preserve">0 </w:t>
      </w:r>
      <w:r w:rsidRPr="00D20839">
        <w:rPr>
          <w:rFonts w:asciiTheme="minorHAnsi" w:hAnsiTheme="minorHAnsi"/>
          <w:i/>
          <w:iCs/>
          <w:color w:val="000000"/>
          <w:sz w:val="21"/>
          <w:szCs w:val="21"/>
        </w:rPr>
        <w:t>AMA PRA Category 1 Credit™.</w:t>
      </w:r>
      <w:r w:rsidRPr="00D20839">
        <w:rPr>
          <w:rFonts w:asciiTheme="minorHAnsi" w:hAnsiTheme="minorHAnsi"/>
          <w:color w:val="000000"/>
          <w:sz w:val="21"/>
          <w:szCs w:val="21"/>
        </w:rPr>
        <w:t>  Physicians should claim only the credit commensurate with the extent of their participation in the activity.</w:t>
      </w:r>
    </w:p>
    <w:p w:rsidR="00C02746" w:rsidRPr="00D20839" w:rsidRDefault="00C02746" w:rsidP="00977EB6">
      <w:pPr>
        <w:rPr>
          <w:rFonts w:asciiTheme="minorHAnsi" w:hAnsiTheme="minorHAnsi"/>
          <w:color w:val="000000"/>
          <w:sz w:val="21"/>
          <w:szCs w:val="21"/>
        </w:rPr>
      </w:pPr>
    </w:p>
    <w:p w:rsidR="00884FE8" w:rsidRPr="00D20839" w:rsidRDefault="00165F69" w:rsidP="00977EB6">
      <w:pPr>
        <w:rPr>
          <w:rFonts w:asciiTheme="minorHAnsi" w:hAnsiTheme="minorHAnsi"/>
          <w:color w:val="000000"/>
          <w:sz w:val="21"/>
          <w:szCs w:val="21"/>
        </w:rPr>
      </w:pPr>
      <w:r w:rsidRPr="00D20839">
        <w:rPr>
          <w:rFonts w:asciiTheme="minorHAnsi" w:hAnsiTheme="minorHAnsi"/>
          <w:b/>
          <w:bCs/>
          <w:color w:val="000000"/>
          <w:sz w:val="21"/>
          <w:szCs w:val="21"/>
        </w:rPr>
        <w:t>Mitigation</w:t>
      </w:r>
      <w:r w:rsidR="00884FE8" w:rsidRPr="00D20839">
        <w:rPr>
          <w:rFonts w:asciiTheme="minorHAnsi" w:hAnsiTheme="minorHAnsi"/>
          <w:b/>
          <w:bCs/>
          <w:color w:val="000000"/>
          <w:sz w:val="21"/>
          <w:szCs w:val="21"/>
        </w:rPr>
        <w:t xml:space="preserve"> Statement: </w:t>
      </w:r>
      <w:r w:rsidR="00884FE8" w:rsidRPr="00D20839">
        <w:rPr>
          <w:rFonts w:asciiTheme="minorHAnsi" w:hAnsiTheme="minorHAnsi"/>
          <w:color w:val="000000"/>
          <w:sz w:val="21"/>
          <w:szCs w:val="21"/>
        </w:rPr>
        <w:t xml:space="preserve">The University of Oklahoma College of Medicine, Office of Continuing Professional Development has reviewed this activity’s speaker and planner disclosures and </w:t>
      </w:r>
      <w:r w:rsidR="003C691A" w:rsidRPr="00D20839">
        <w:rPr>
          <w:rFonts w:asciiTheme="minorHAnsi" w:hAnsiTheme="minorHAnsi"/>
          <w:color w:val="000000"/>
          <w:sz w:val="21"/>
          <w:szCs w:val="21"/>
        </w:rPr>
        <w:t>has mitigated</w:t>
      </w:r>
      <w:r w:rsidR="00884FE8" w:rsidRPr="00D20839">
        <w:rPr>
          <w:rFonts w:asciiTheme="minorHAnsi" w:hAnsiTheme="minorHAnsi"/>
          <w:color w:val="000000"/>
          <w:sz w:val="21"/>
          <w:szCs w:val="21"/>
        </w:rPr>
        <w:t xml:space="preserve"> all </w:t>
      </w:r>
      <w:r w:rsidR="003C691A" w:rsidRPr="00D20839">
        <w:rPr>
          <w:rFonts w:asciiTheme="minorHAnsi" w:hAnsiTheme="minorHAnsi"/>
          <w:color w:val="000000"/>
          <w:sz w:val="21"/>
          <w:szCs w:val="21"/>
        </w:rPr>
        <w:t>relevant financial relationships with ineligible companies</w:t>
      </w:r>
      <w:r w:rsidR="00884FE8" w:rsidRPr="00D20839">
        <w:rPr>
          <w:rFonts w:asciiTheme="minorHAnsi" w:hAnsiTheme="minorHAnsi"/>
          <w:color w:val="000000"/>
          <w:sz w:val="21"/>
          <w:szCs w:val="21"/>
        </w:rPr>
        <w:t>, if applicable.</w:t>
      </w:r>
    </w:p>
    <w:p w:rsidR="00896743" w:rsidRPr="00D20839" w:rsidRDefault="00896743" w:rsidP="00977EB6">
      <w:pPr>
        <w:rPr>
          <w:rFonts w:asciiTheme="minorHAnsi" w:hAnsiTheme="minorHAnsi"/>
          <w:b/>
          <w:bCs/>
          <w:color w:val="000000"/>
          <w:sz w:val="21"/>
          <w:szCs w:val="21"/>
        </w:rPr>
      </w:pPr>
    </w:p>
    <w:p w:rsidR="00355683" w:rsidRPr="00D20839" w:rsidRDefault="00884FE8" w:rsidP="00355683">
      <w:pPr>
        <w:rPr>
          <w:rFonts w:asciiTheme="minorHAnsi" w:hAnsiTheme="minorHAnsi"/>
          <w:sz w:val="21"/>
          <w:szCs w:val="21"/>
          <w:highlight w:val="yellow"/>
        </w:rPr>
      </w:pPr>
      <w:r w:rsidRPr="00D20839">
        <w:rPr>
          <w:rFonts w:asciiTheme="minorHAnsi" w:hAnsiTheme="minorHAnsi"/>
          <w:b/>
          <w:bCs/>
          <w:color w:val="000000"/>
          <w:sz w:val="21"/>
          <w:szCs w:val="21"/>
        </w:rPr>
        <w:t xml:space="preserve">Nondiscrimination Statement: </w:t>
      </w:r>
      <w:r w:rsidR="00BB46E7" w:rsidRPr="00D20839">
        <w:rPr>
          <w:rFonts w:asciiTheme="minorHAnsi" w:hAnsiTheme="minorHAnsi" w:cs="Tahoma"/>
          <w:sz w:val="21"/>
          <w:szCs w:val="21"/>
          <w:shd w:val="clear" w:color="auto" w:fill="FFFFFF"/>
        </w:rPr>
        <w:t>The University of Oklahoma, in compliance with all applicable federal and state laws and regulations, does not discriminate on the basis of race, color, national origin, sex, sexual orientation, genetic information, gender identity, gender expression, age, religion, disability, political beliefs, or status as a veteran in any of its policies, practices, or procedures. This includes, but is not limited to: admissions, employment, financial aid, housing, services in educational programs or activities, or health care services that the university operates or provides. Inquiries regarding non-discrimination policies may be directed to: Shaniqua Crawford, JD, Institutional Equity Officer and Title IX Coordinator, 405-325-3546, scrawford@ou.edu, or visit www.ou.edu/eoo.html.</w:t>
      </w:r>
      <w:r w:rsidR="00355683" w:rsidRPr="00D20839">
        <w:rPr>
          <w:rFonts w:asciiTheme="minorHAnsi" w:hAnsiTheme="minorHAnsi"/>
          <w:sz w:val="21"/>
          <w:szCs w:val="21"/>
          <w:highlight w:val="yellow"/>
        </w:rPr>
        <w:t xml:space="preserve"> </w:t>
      </w:r>
    </w:p>
    <w:p w:rsidR="00355683" w:rsidRPr="00D20839" w:rsidRDefault="00355683" w:rsidP="00977EB6">
      <w:pPr>
        <w:rPr>
          <w:rFonts w:asciiTheme="minorHAnsi" w:hAnsiTheme="minorHAnsi"/>
          <w:sz w:val="21"/>
          <w:szCs w:val="21"/>
          <w:highlight w:val="yellow"/>
        </w:rPr>
      </w:pPr>
    </w:p>
    <w:p w:rsidR="00884FE8" w:rsidRPr="00D20839" w:rsidRDefault="00884FE8" w:rsidP="00977EB6">
      <w:pPr>
        <w:rPr>
          <w:rFonts w:asciiTheme="minorHAnsi" w:hAnsiTheme="minorHAnsi"/>
          <w:color w:val="000000"/>
          <w:sz w:val="21"/>
          <w:szCs w:val="21"/>
        </w:rPr>
      </w:pPr>
      <w:r w:rsidRPr="00D20839">
        <w:rPr>
          <w:rFonts w:asciiTheme="minorHAnsi" w:hAnsiTheme="minorHAnsi"/>
          <w:b/>
          <w:bCs/>
          <w:color w:val="000000"/>
          <w:sz w:val="21"/>
          <w:szCs w:val="21"/>
        </w:rPr>
        <w:t>Accommodation Statement:</w:t>
      </w:r>
      <w:r w:rsidRPr="00D20839">
        <w:rPr>
          <w:rFonts w:asciiTheme="minorHAnsi" w:hAnsiTheme="minorHAnsi"/>
          <w:color w:val="000000"/>
          <w:sz w:val="21"/>
          <w:szCs w:val="21"/>
        </w:rPr>
        <w:t> </w:t>
      </w:r>
      <w:r w:rsidR="00C007BD" w:rsidRPr="00D20839">
        <w:rPr>
          <w:rFonts w:asciiTheme="minorHAnsi" w:hAnsiTheme="minorHAnsi"/>
          <w:color w:val="000000"/>
          <w:sz w:val="21"/>
          <w:szCs w:val="21"/>
        </w:rPr>
        <w:t>For accommodations, please</w:t>
      </w:r>
      <w:r w:rsidR="00896743" w:rsidRPr="00D20839">
        <w:rPr>
          <w:rFonts w:asciiTheme="minorHAnsi" w:hAnsiTheme="minorHAnsi"/>
          <w:color w:val="000000"/>
          <w:sz w:val="21"/>
          <w:szCs w:val="21"/>
        </w:rPr>
        <w:t xml:space="preserve"> contact </w:t>
      </w:r>
      <w:r w:rsidR="000019AA" w:rsidRPr="00D20839">
        <w:rPr>
          <w:rFonts w:asciiTheme="minorHAnsi" w:hAnsiTheme="minorHAnsi"/>
          <w:color w:val="000000"/>
          <w:sz w:val="21"/>
          <w:szCs w:val="21"/>
        </w:rPr>
        <w:t>Rhonda Wallace at Rhonda-wallace@ouhsc.edu</w:t>
      </w:r>
    </w:p>
    <w:p w:rsidR="00896743" w:rsidRPr="00D20839" w:rsidRDefault="00896743" w:rsidP="00977EB6">
      <w:pPr>
        <w:rPr>
          <w:rFonts w:asciiTheme="minorHAnsi" w:hAnsiTheme="minorHAnsi"/>
          <w:b/>
          <w:bCs/>
          <w:color w:val="000000"/>
          <w:sz w:val="21"/>
          <w:szCs w:val="21"/>
        </w:rPr>
      </w:pPr>
    </w:p>
    <w:p w:rsidR="00884FE8" w:rsidRPr="00D20839" w:rsidRDefault="00884FE8" w:rsidP="00977EB6">
      <w:pPr>
        <w:rPr>
          <w:rFonts w:asciiTheme="minorHAnsi" w:hAnsiTheme="minorHAnsi"/>
          <w:color w:val="000000"/>
          <w:sz w:val="21"/>
          <w:szCs w:val="21"/>
        </w:rPr>
      </w:pPr>
      <w:r w:rsidRPr="00D20839">
        <w:rPr>
          <w:rFonts w:asciiTheme="minorHAnsi" w:hAnsiTheme="minorHAnsi"/>
          <w:b/>
          <w:bCs/>
          <w:color w:val="000000"/>
          <w:sz w:val="21"/>
          <w:szCs w:val="21"/>
        </w:rPr>
        <w:t>Disclaimer Statement:</w:t>
      </w:r>
      <w:r w:rsidRPr="00D20839">
        <w:rPr>
          <w:rFonts w:asciiTheme="minorHAnsi" w:hAnsiTheme="minorHAnsi"/>
          <w:color w:val="000000"/>
          <w:sz w:val="21"/>
          <w:szCs w:val="21"/>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rsidR="00483DDC" w:rsidRPr="00D20839" w:rsidRDefault="00483DDC" w:rsidP="00977EB6">
      <w:pPr>
        <w:rPr>
          <w:rFonts w:asciiTheme="minorHAnsi" w:hAnsiTheme="minorHAnsi"/>
          <w:color w:val="000000"/>
          <w:sz w:val="21"/>
          <w:szCs w:val="21"/>
        </w:rPr>
      </w:pPr>
    </w:p>
    <w:p w:rsidR="00884FE8" w:rsidRPr="00D20839" w:rsidRDefault="00884FE8" w:rsidP="00977EB6">
      <w:pPr>
        <w:rPr>
          <w:rFonts w:asciiTheme="minorHAnsi" w:hAnsiTheme="minorHAnsi"/>
          <w:color w:val="000000"/>
          <w:sz w:val="21"/>
          <w:szCs w:val="21"/>
        </w:rPr>
      </w:pPr>
      <w:r w:rsidRPr="00D20839">
        <w:rPr>
          <w:rFonts w:asciiTheme="minorHAnsi" w:hAnsiTheme="minorHAnsi"/>
          <w:color w:val="000000"/>
          <w:sz w:val="21"/>
          <w:szCs w:val="21"/>
        </w:rPr>
        <w:lastRenderedPageBreak/>
        <w:t>Every reasonable effort has been made to faithfully reproduce the presentations and material as submitted. However, no responsibility is assumed by OU for any claims, injury and/or damage to persons or property from any cause, including negligence or otherwise, or from any use or operation of any methods, products, instruments or ideas contained in the material herein.</w:t>
      </w:r>
    </w:p>
    <w:p w:rsidR="00896743" w:rsidRPr="00D20839" w:rsidRDefault="00896743" w:rsidP="00977EB6">
      <w:pPr>
        <w:rPr>
          <w:rFonts w:asciiTheme="minorHAnsi" w:hAnsiTheme="minorHAnsi"/>
          <w:b/>
          <w:bCs/>
          <w:color w:val="000000"/>
          <w:sz w:val="21"/>
          <w:szCs w:val="21"/>
        </w:rPr>
      </w:pPr>
    </w:p>
    <w:p w:rsidR="00884FE8" w:rsidRPr="00D20839" w:rsidRDefault="00884FE8" w:rsidP="00977EB6">
      <w:pPr>
        <w:rPr>
          <w:rFonts w:asciiTheme="minorHAnsi" w:hAnsiTheme="minorHAnsi"/>
          <w:color w:val="000000"/>
          <w:sz w:val="21"/>
          <w:szCs w:val="21"/>
        </w:rPr>
      </w:pPr>
      <w:r w:rsidRPr="00D20839">
        <w:rPr>
          <w:rFonts w:asciiTheme="minorHAnsi" w:hAnsiTheme="minorHAnsi"/>
          <w:b/>
          <w:bCs/>
          <w:color w:val="000000"/>
          <w:sz w:val="21"/>
          <w:szCs w:val="21"/>
        </w:rPr>
        <w:t xml:space="preserve">Policy on </w:t>
      </w:r>
      <w:r w:rsidR="00165F69" w:rsidRPr="00D20839">
        <w:rPr>
          <w:rFonts w:asciiTheme="minorHAnsi" w:hAnsiTheme="minorHAnsi"/>
          <w:b/>
          <w:bCs/>
          <w:color w:val="000000"/>
          <w:sz w:val="21"/>
          <w:szCs w:val="21"/>
        </w:rPr>
        <w:t>Planner</w:t>
      </w:r>
      <w:r w:rsidRPr="00D20839">
        <w:rPr>
          <w:rFonts w:asciiTheme="minorHAnsi" w:hAnsiTheme="minorHAnsi"/>
          <w:b/>
          <w:bCs/>
          <w:color w:val="000000"/>
          <w:sz w:val="21"/>
          <w:szCs w:val="21"/>
        </w:rPr>
        <w:t xml:space="preserve"> and Presenter Disclosure:</w:t>
      </w:r>
      <w:r w:rsidRPr="00D20839">
        <w:rPr>
          <w:rFonts w:asciiTheme="minorHAnsi" w:hAnsiTheme="minorHAnsi"/>
          <w:color w:val="000000"/>
          <w:sz w:val="21"/>
          <w:szCs w:val="21"/>
        </w:rPr>
        <w:t xml:space="preserve"> It is the policy of the University of Oklahoma College of Medicine that the faculty and presenters </w:t>
      </w:r>
      <w:r w:rsidR="00A53DE7" w:rsidRPr="00D20839">
        <w:rPr>
          <w:rFonts w:asciiTheme="minorHAnsi" w:hAnsiTheme="minorHAnsi"/>
          <w:color w:val="000000"/>
          <w:sz w:val="21"/>
          <w:szCs w:val="21"/>
        </w:rPr>
        <w:t xml:space="preserve">identify </w:t>
      </w:r>
      <w:r w:rsidR="00165F69" w:rsidRPr="00D20839">
        <w:rPr>
          <w:rFonts w:asciiTheme="minorHAnsi" w:hAnsiTheme="minorHAnsi"/>
          <w:color w:val="000000"/>
          <w:sz w:val="21"/>
          <w:szCs w:val="21"/>
        </w:rPr>
        <w:t>all</w:t>
      </w:r>
      <w:r w:rsidR="003C691A" w:rsidRPr="00D20839">
        <w:rPr>
          <w:rFonts w:asciiTheme="minorHAnsi" w:hAnsiTheme="minorHAnsi"/>
          <w:color w:val="000000"/>
          <w:sz w:val="21"/>
          <w:szCs w:val="21"/>
        </w:rPr>
        <w:t xml:space="preserve"> financial relationships with</w:t>
      </w:r>
      <w:r w:rsidR="00A53DE7" w:rsidRPr="00D20839">
        <w:rPr>
          <w:rFonts w:asciiTheme="minorHAnsi" w:hAnsiTheme="minorHAnsi"/>
          <w:color w:val="000000"/>
          <w:sz w:val="21"/>
          <w:szCs w:val="21"/>
        </w:rPr>
        <w:t xml:space="preserve"> ineligible companies</w:t>
      </w:r>
      <w:r w:rsidRPr="00D20839">
        <w:rPr>
          <w:rFonts w:asciiTheme="minorHAnsi" w:hAnsiTheme="minorHAnsi"/>
          <w:color w:val="000000"/>
          <w:sz w:val="21"/>
          <w:szCs w:val="21"/>
        </w:rPr>
        <w:t xml:space="preserve"> relating to the topics of this educational activity, and also discloses discussions of </w:t>
      </w:r>
      <w:r w:rsidR="00165F69" w:rsidRPr="00D20839">
        <w:rPr>
          <w:rFonts w:asciiTheme="minorHAnsi" w:hAnsiTheme="minorHAnsi"/>
          <w:color w:val="000000"/>
          <w:sz w:val="21"/>
          <w:szCs w:val="21"/>
        </w:rPr>
        <w:t xml:space="preserve">off-label or investigational drugs/devices and/or therapies </w:t>
      </w:r>
      <w:r w:rsidRPr="00D20839">
        <w:rPr>
          <w:rFonts w:asciiTheme="minorHAnsi" w:hAnsiTheme="minorHAnsi"/>
          <w:color w:val="000000"/>
          <w:sz w:val="21"/>
          <w:szCs w:val="21"/>
        </w:rPr>
        <w:t xml:space="preserve">during their presentation(s). </w:t>
      </w:r>
    </w:p>
    <w:p w:rsidR="00896743" w:rsidRPr="00D20839" w:rsidRDefault="00896743" w:rsidP="00977EB6">
      <w:pPr>
        <w:rPr>
          <w:rFonts w:asciiTheme="minorHAnsi" w:hAnsiTheme="minorHAnsi"/>
          <w:b/>
          <w:bCs/>
          <w:color w:val="000000"/>
          <w:sz w:val="21"/>
          <w:szCs w:val="21"/>
        </w:rPr>
      </w:pPr>
    </w:p>
    <w:p w:rsidR="008051FA" w:rsidRPr="00D20839" w:rsidRDefault="0021756A" w:rsidP="008051FA">
      <w:pPr>
        <w:shd w:val="clear" w:color="auto" w:fill="FFFFFF"/>
        <w:rPr>
          <w:color w:val="000000"/>
          <w:sz w:val="21"/>
          <w:szCs w:val="21"/>
        </w:rPr>
      </w:pPr>
      <w:r w:rsidRPr="00D20839">
        <w:rPr>
          <w:rFonts w:asciiTheme="minorHAnsi" w:hAnsiTheme="minorHAnsi"/>
          <w:b/>
          <w:bCs/>
          <w:color w:val="000000"/>
          <w:sz w:val="21"/>
          <w:szCs w:val="21"/>
        </w:rPr>
        <w:t>Acknowledgement of C</w:t>
      </w:r>
      <w:r w:rsidR="00884FE8" w:rsidRPr="00D20839">
        <w:rPr>
          <w:rFonts w:asciiTheme="minorHAnsi" w:hAnsiTheme="minorHAnsi"/>
          <w:b/>
          <w:bCs/>
          <w:color w:val="000000"/>
          <w:sz w:val="21"/>
          <w:szCs w:val="21"/>
        </w:rPr>
        <w:t>ommercial and In-Kind Support:</w:t>
      </w:r>
      <w:r w:rsidR="00884FE8" w:rsidRPr="00D20839">
        <w:rPr>
          <w:rFonts w:asciiTheme="minorHAnsi" w:hAnsiTheme="minorHAnsi"/>
          <w:color w:val="000000"/>
          <w:sz w:val="21"/>
          <w:szCs w:val="21"/>
        </w:rPr>
        <w:t xml:space="preserve"> </w:t>
      </w:r>
      <w:r w:rsidR="008051FA" w:rsidRPr="00D20839">
        <w:rPr>
          <w:b/>
          <w:bCs/>
          <w:color w:val="000000"/>
          <w:sz w:val="21"/>
          <w:szCs w:val="21"/>
        </w:rPr>
        <w:t>Commercial support</w:t>
      </w:r>
      <w:r w:rsidR="008051FA" w:rsidRPr="00D20839">
        <w:rPr>
          <w:color w:val="000000"/>
          <w:sz w:val="21"/>
          <w:szCs w:val="21"/>
        </w:rPr>
        <w:t xml:space="preserve"> is financial, or in-kind, contributions given by an ineligible company, which is used to pay all or part of the costs of a CME activity.  An ineligible company is any</w:t>
      </w:r>
      <w:r w:rsidR="00710A31" w:rsidRPr="00D20839">
        <w:rPr>
          <w:color w:val="000000"/>
          <w:sz w:val="21"/>
          <w:szCs w:val="21"/>
        </w:rPr>
        <w:t xml:space="preserve"> company</w:t>
      </w:r>
      <w:r w:rsidR="008051FA" w:rsidRPr="00D20839">
        <w:rPr>
          <w:color w:val="000000"/>
          <w:sz w:val="21"/>
          <w:szCs w:val="21"/>
        </w:rPr>
        <w:t xml:space="preserve"> </w:t>
      </w:r>
      <w:r w:rsidR="00710A31" w:rsidRPr="00D20839">
        <w:rPr>
          <w:sz w:val="21"/>
          <w:szCs w:val="21"/>
        </w:rPr>
        <w:t>whose primary business is producing, marketing, selling, re-selling, or distributing healthcare products used by or on patients.</w:t>
      </w:r>
    </w:p>
    <w:p w:rsidR="000019AA" w:rsidRPr="00D20839" w:rsidRDefault="000019AA" w:rsidP="00A50883">
      <w:pPr>
        <w:rPr>
          <w:rFonts w:asciiTheme="minorHAnsi" w:hAnsiTheme="minorHAnsi"/>
          <w:color w:val="000000"/>
          <w:sz w:val="21"/>
          <w:szCs w:val="21"/>
        </w:rPr>
      </w:pPr>
    </w:p>
    <w:p w:rsidR="00A50883" w:rsidRPr="00D20839" w:rsidRDefault="00977EB6" w:rsidP="00A50883">
      <w:pPr>
        <w:rPr>
          <w:rFonts w:asciiTheme="minorHAnsi" w:hAnsiTheme="minorHAnsi"/>
          <w:color w:val="000000"/>
          <w:sz w:val="21"/>
          <w:szCs w:val="21"/>
        </w:rPr>
      </w:pPr>
      <w:r w:rsidRPr="00D20839">
        <w:rPr>
          <w:rFonts w:asciiTheme="minorHAnsi" w:hAnsiTheme="minorHAnsi"/>
          <w:color w:val="000000"/>
          <w:sz w:val="21"/>
          <w:szCs w:val="21"/>
        </w:rPr>
        <w:t>This activity received no commercial or in-kind support.</w:t>
      </w:r>
    </w:p>
    <w:p w:rsidR="00A50883" w:rsidRPr="00D20839" w:rsidRDefault="00A50883" w:rsidP="00A50883">
      <w:pPr>
        <w:rPr>
          <w:rFonts w:asciiTheme="minorHAnsi" w:hAnsiTheme="minorHAnsi"/>
          <w:color w:val="000000"/>
          <w:sz w:val="21"/>
          <w:szCs w:val="21"/>
        </w:rPr>
      </w:pPr>
    </w:p>
    <w:p w:rsidR="00A53DE7" w:rsidRPr="00D20839" w:rsidRDefault="00A53DE7" w:rsidP="00A50883">
      <w:pPr>
        <w:rPr>
          <w:rFonts w:asciiTheme="minorHAnsi" w:hAnsiTheme="minorHAnsi"/>
          <w:b/>
          <w:bCs/>
          <w:color w:val="000000"/>
          <w:sz w:val="21"/>
          <w:szCs w:val="21"/>
        </w:rPr>
      </w:pPr>
      <w:r w:rsidRPr="00D20839">
        <w:rPr>
          <w:rFonts w:asciiTheme="minorHAnsi" w:hAnsiTheme="minorHAnsi"/>
          <w:b/>
          <w:bCs/>
          <w:color w:val="000000"/>
          <w:sz w:val="21"/>
          <w:szCs w:val="21"/>
        </w:rPr>
        <w:t xml:space="preserve">Disclosure &amp; </w:t>
      </w:r>
      <w:r w:rsidR="00165F69" w:rsidRPr="00D20839">
        <w:rPr>
          <w:rFonts w:asciiTheme="minorHAnsi" w:hAnsiTheme="minorHAnsi"/>
          <w:b/>
          <w:bCs/>
          <w:color w:val="000000"/>
          <w:sz w:val="21"/>
          <w:szCs w:val="21"/>
        </w:rPr>
        <w:t>Mitigation</w:t>
      </w:r>
      <w:r w:rsidRPr="00D20839">
        <w:rPr>
          <w:rFonts w:asciiTheme="minorHAnsi" w:hAnsiTheme="minorHAnsi"/>
          <w:b/>
          <w:bCs/>
          <w:color w:val="000000"/>
          <w:sz w:val="21"/>
          <w:szCs w:val="21"/>
        </w:rPr>
        <w:t xml:space="preserve"> Report</w:t>
      </w:r>
    </w:p>
    <w:p w:rsidR="0027396F" w:rsidRPr="00977EB6" w:rsidRDefault="00A53DE7" w:rsidP="00977EB6">
      <w:pPr>
        <w:rPr>
          <w:rFonts w:asciiTheme="minorHAnsi" w:hAnsiTheme="minorHAnsi"/>
          <w:b/>
          <w:bCs/>
          <w:color w:val="000000"/>
        </w:rPr>
      </w:pPr>
      <w:r w:rsidRPr="00D20839">
        <w:rPr>
          <w:rFonts w:asciiTheme="minorHAnsi" w:hAnsiTheme="minorHAnsi"/>
          <w:sz w:val="21"/>
          <w:szCs w:val="21"/>
        </w:rPr>
        <w:t xml:space="preserve">The University of Oklahoma College of Medicine and the Irwin H. Brown Office of Continuing Professional Development must ensure balance, independence, objectivity and scientific rigor in all its </w:t>
      </w:r>
      <w:r w:rsidR="00165F69" w:rsidRPr="00D20839">
        <w:rPr>
          <w:rFonts w:asciiTheme="minorHAnsi" w:hAnsiTheme="minorHAnsi"/>
          <w:sz w:val="21"/>
          <w:szCs w:val="21"/>
        </w:rPr>
        <w:t xml:space="preserve">accredited CE </w:t>
      </w:r>
      <w:r w:rsidRPr="00D20839">
        <w:rPr>
          <w:rFonts w:asciiTheme="minorHAnsi" w:hAnsiTheme="minorHAnsi"/>
          <w:sz w:val="21"/>
          <w:szCs w:val="21"/>
        </w:rPr>
        <w:t xml:space="preserve">activities.  We have implemented a process where everyone who is in a position to control the content of an educational activity has identified to us all financial relationships with ineligible companies. In addition, should it be determined that a relevant financial relationship exists, this must be mitigated prior to the activity. This policy is designed to provide the target audience with an opportunity to review any affiliations between the CE </w:t>
      </w:r>
      <w:r w:rsidR="00165F69" w:rsidRPr="00D20839">
        <w:rPr>
          <w:rFonts w:asciiTheme="minorHAnsi" w:hAnsiTheme="minorHAnsi"/>
          <w:sz w:val="21"/>
          <w:szCs w:val="21"/>
        </w:rPr>
        <w:t>planners</w:t>
      </w:r>
      <w:r w:rsidRPr="00D20839">
        <w:rPr>
          <w:rFonts w:asciiTheme="minorHAnsi" w:hAnsiTheme="minorHAnsi"/>
          <w:sz w:val="21"/>
          <w:szCs w:val="21"/>
        </w:rPr>
        <w:t xml:space="preserve"> and presenters and </w:t>
      </w:r>
      <w:r w:rsidR="00165F69" w:rsidRPr="00D20839">
        <w:rPr>
          <w:rFonts w:asciiTheme="minorHAnsi" w:hAnsiTheme="minorHAnsi"/>
          <w:sz w:val="21"/>
          <w:szCs w:val="21"/>
        </w:rPr>
        <w:t>ineligible companies</w:t>
      </w:r>
      <w:r w:rsidRPr="00D20839">
        <w:rPr>
          <w:rFonts w:asciiTheme="minorHAnsi" w:hAnsiTheme="minorHAnsi"/>
          <w:sz w:val="21"/>
          <w:szCs w:val="21"/>
        </w:rPr>
        <w:t xml:space="preserve"> for the purpose of determining the potential presence of bias or influence over educational content. The following is a summary of this activity’s disclosure and mitigation information.</w:t>
      </w:r>
    </w:p>
    <w:tbl>
      <w:tblPr>
        <w:tblStyle w:val="TableGrid"/>
        <w:tblW w:w="10975" w:type="dxa"/>
        <w:tblLook w:val="04A0" w:firstRow="1" w:lastRow="0" w:firstColumn="1" w:lastColumn="0" w:noHBand="0" w:noVBand="1"/>
      </w:tblPr>
      <w:tblGrid>
        <w:gridCol w:w="2155"/>
        <w:gridCol w:w="1350"/>
        <w:gridCol w:w="1890"/>
        <w:gridCol w:w="1980"/>
        <w:gridCol w:w="1530"/>
        <w:gridCol w:w="2070"/>
      </w:tblGrid>
      <w:tr w:rsidR="007203CC" w:rsidRPr="007203CC" w:rsidTr="000019AA">
        <w:tc>
          <w:tcPr>
            <w:tcW w:w="5395" w:type="dxa"/>
            <w:gridSpan w:val="3"/>
            <w:shd w:val="clear" w:color="auto" w:fill="BFBFBF" w:themeFill="background1" w:themeFillShade="BF"/>
          </w:tcPr>
          <w:p w:rsidR="007203CC" w:rsidRPr="007203CC" w:rsidRDefault="007203CC" w:rsidP="00977EB6">
            <w:pPr>
              <w:rPr>
                <w:rFonts w:asciiTheme="minorHAnsi" w:hAnsiTheme="minorHAnsi"/>
                <w:sz w:val="20"/>
              </w:rPr>
            </w:pPr>
          </w:p>
        </w:tc>
        <w:tc>
          <w:tcPr>
            <w:tcW w:w="5580" w:type="dxa"/>
            <w:gridSpan w:val="3"/>
            <w:shd w:val="clear" w:color="auto" w:fill="BFBFBF" w:themeFill="background1" w:themeFillShade="BF"/>
            <w:vAlign w:val="center"/>
          </w:tcPr>
          <w:p w:rsidR="007203CC" w:rsidRPr="007203CC" w:rsidRDefault="007203CC" w:rsidP="00102E3E">
            <w:pPr>
              <w:jc w:val="center"/>
              <w:rPr>
                <w:rFonts w:asciiTheme="minorHAnsi" w:hAnsiTheme="minorHAnsi"/>
                <w:b/>
                <w:sz w:val="20"/>
              </w:rPr>
            </w:pPr>
            <w:r w:rsidRPr="007203CC">
              <w:rPr>
                <w:rFonts w:asciiTheme="minorHAnsi" w:hAnsiTheme="minorHAnsi"/>
                <w:b/>
                <w:sz w:val="20"/>
              </w:rPr>
              <w:t xml:space="preserve">Nature of </w:t>
            </w:r>
            <w:r w:rsidR="00102E3E">
              <w:rPr>
                <w:rFonts w:asciiTheme="minorHAnsi" w:hAnsiTheme="minorHAnsi"/>
                <w:b/>
                <w:sz w:val="20"/>
              </w:rPr>
              <w:t xml:space="preserve">the </w:t>
            </w:r>
            <w:r w:rsidRPr="007203CC">
              <w:rPr>
                <w:rFonts w:asciiTheme="minorHAnsi" w:hAnsiTheme="minorHAnsi"/>
                <w:b/>
                <w:sz w:val="20"/>
              </w:rPr>
              <w:t>Financial Relationship</w:t>
            </w:r>
          </w:p>
        </w:tc>
      </w:tr>
      <w:tr w:rsidR="00A53DE7" w:rsidRPr="007203CC" w:rsidTr="00EB2D1B">
        <w:tc>
          <w:tcPr>
            <w:tcW w:w="2155"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Role(s)</w:t>
            </w:r>
          </w:p>
        </w:tc>
        <w:tc>
          <w:tcPr>
            <w:tcW w:w="135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First Name</w:t>
            </w:r>
          </w:p>
        </w:tc>
        <w:tc>
          <w:tcPr>
            <w:tcW w:w="189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Last Name</w:t>
            </w:r>
          </w:p>
        </w:tc>
        <w:tc>
          <w:tcPr>
            <w:tcW w:w="198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Ineligible Company</w:t>
            </w:r>
          </w:p>
        </w:tc>
        <w:tc>
          <w:tcPr>
            <w:tcW w:w="153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What Was Received</w:t>
            </w:r>
          </w:p>
        </w:tc>
        <w:tc>
          <w:tcPr>
            <w:tcW w:w="2070" w:type="dxa"/>
            <w:shd w:val="clear" w:color="auto" w:fill="BFBFBF" w:themeFill="background1" w:themeFillShade="BF"/>
          </w:tcPr>
          <w:p w:rsidR="00A53DE7" w:rsidRPr="007203CC" w:rsidRDefault="007203CC" w:rsidP="00977EB6">
            <w:pPr>
              <w:rPr>
                <w:rFonts w:asciiTheme="minorHAnsi" w:hAnsiTheme="minorHAnsi"/>
                <w:b/>
                <w:sz w:val="20"/>
              </w:rPr>
            </w:pPr>
            <w:r w:rsidRPr="007203CC">
              <w:rPr>
                <w:rFonts w:asciiTheme="minorHAnsi" w:hAnsiTheme="minorHAnsi"/>
                <w:b/>
                <w:sz w:val="20"/>
              </w:rPr>
              <w:t>For What Role?</w:t>
            </w:r>
          </w:p>
        </w:tc>
      </w:tr>
      <w:tr w:rsidR="0021024E" w:rsidRPr="00D20839" w:rsidTr="00EB2D1B">
        <w:tc>
          <w:tcPr>
            <w:tcW w:w="2155" w:type="dxa"/>
            <w:tcBorders>
              <w:top w:val="nil"/>
              <w:left w:val="single" w:sz="8" w:space="0" w:color="auto"/>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Planning Committee</w:t>
            </w:r>
          </w:p>
        </w:tc>
        <w:tc>
          <w:tcPr>
            <w:tcW w:w="135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Jana D.</w:t>
            </w:r>
          </w:p>
        </w:tc>
        <w:tc>
          <w:tcPr>
            <w:tcW w:w="189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Bingman, MD</w:t>
            </w:r>
          </w:p>
        </w:tc>
        <w:tc>
          <w:tcPr>
            <w:tcW w:w="5580" w:type="dxa"/>
            <w:gridSpan w:val="3"/>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r w:rsidR="0021024E" w:rsidRPr="00D20839" w:rsidTr="00EB2D1B">
        <w:tc>
          <w:tcPr>
            <w:tcW w:w="2155" w:type="dxa"/>
            <w:tcBorders>
              <w:top w:val="nil"/>
              <w:left w:val="single" w:sz="8" w:space="0" w:color="auto"/>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Planning Committee, Presenter</w:t>
            </w:r>
          </w:p>
        </w:tc>
        <w:tc>
          <w:tcPr>
            <w:tcW w:w="135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Tara R.</w:t>
            </w:r>
          </w:p>
        </w:tc>
        <w:tc>
          <w:tcPr>
            <w:tcW w:w="189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Buck, MD</w:t>
            </w:r>
          </w:p>
        </w:tc>
        <w:tc>
          <w:tcPr>
            <w:tcW w:w="5580" w:type="dxa"/>
            <w:gridSpan w:val="3"/>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r w:rsidR="0021024E" w:rsidRPr="00D20839" w:rsidTr="00EB2D1B">
        <w:tc>
          <w:tcPr>
            <w:tcW w:w="2155" w:type="dxa"/>
            <w:tcBorders>
              <w:top w:val="nil"/>
              <w:left w:val="single" w:sz="8" w:space="0" w:color="auto"/>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Course Director/ Presenter-Panelist</w:t>
            </w:r>
          </w:p>
        </w:tc>
        <w:tc>
          <w:tcPr>
            <w:tcW w:w="135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Ondria C.</w:t>
            </w:r>
          </w:p>
        </w:tc>
        <w:tc>
          <w:tcPr>
            <w:tcW w:w="189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Gleason, MD</w:t>
            </w:r>
          </w:p>
        </w:tc>
        <w:tc>
          <w:tcPr>
            <w:tcW w:w="5580" w:type="dxa"/>
            <w:gridSpan w:val="3"/>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r w:rsidR="0021024E" w:rsidRPr="00D20839" w:rsidTr="00EB2D1B">
        <w:tc>
          <w:tcPr>
            <w:tcW w:w="2155" w:type="dxa"/>
            <w:tcBorders>
              <w:top w:val="nil"/>
              <w:left w:val="single" w:sz="8" w:space="0" w:color="auto"/>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Planning Committee</w:t>
            </w:r>
          </w:p>
        </w:tc>
        <w:tc>
          <w:tcPr>
            <w:tcW w:w="135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Andrew H.</w:t>
            </w:r>
          </w:p>
        </w:tc>
        <w:tc>
          <w:tcPr>
            <w:tcW w:w="189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Liew, MD</w:t>
            </w:r>
          </w:p>
        </w:tc>
        <w:tc>
          <w:tcPr>
            <w:tcW w:w="5580" w:type="dxa"/>
            <w:gridSpan w:val="3"/>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r w:rsidR="0021024E" w:rsidRPr="00D20839" w:rsidTr="00EB2D1B">
        <w:tc>
          <w:tcPr>
            <w:tcW w:w="2155" w:type="dxa"/>
            <w:tcBorders>
              <w:top w:val="nil"/>
              <w:left w:val="single" w:sz="8" w:space="0" w:color="auto"/>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Course Contact</w:t>
            </w:r>
          </w:p>
        </w:tc>
        <w:tc>
          <w:tcPr>
            <w:tcW w:w="135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Michelle A.</w:t>
            </w:r>
          </w:p>
        </w:tc>
        <w:tc>
          <w:tcPr>
            <w:tcW w:w="189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Matukewicz, MHR</w:t>
            </w:r>
          </w:p>
        </w:tc>
        <w:tc>
          <w:tcPr>
            <w:tcW w:w="5580" w:type="dxa"/>
            <w:gridSpan w:val="3"/>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r w:rsidR="0021024E" w:rsidRPr="00D20839" w:rsidTr="00EB2D1B">
        <w:tc>
          <w:tcPr>
            <w:tcW w:w="2155" w:type="dxa"/>
            <w:tcBorders>
              <w:top w:val="nil"/>
              <w:left w:val="single" w:sz="8" w:space="0" w:color="auto"/>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Planning Committee</w:t>
            </w:r>
          </w:p>
        </w:tc>
        <w:tc>
          <w:tcPr>
            <w:tcW w:w="1350" w:type="dxa"/>
            <w:tcBorders>
              <w:top w:val="nil"/>
              <w:left w:val="nil"/>
              <w:bottom w:val="single" w:sz="8" w:space="0" w:color="auto"/>
              <w:right w:val="single" w:sz="8" w:space="0" w:color="auto"/>
            </w:tcBorders>
            <w:vAlign w:val="center"/>
          </w:tcPr>
          <w:p w:rsidR="0021024E" w:rsidRPr="00D20839" w:rsidRDefault="000019AA" w:rsidP="0021024E">
            <w:pPr>
              <w:rPr>
                <w:rFonts w:asciiTheme="minorHAnsi" w:hAnsiTheme="minorHAnsi" w:cstheme="minorHAnsi"/>
                <w:sz w:val="20"/>
                <w:szCs w:val="20"/>
              </w:rPr>
            </w:pPr>
            <w:r w:rsidRPr="00D20839">
              <w:rPr>
                <w:sz w:val="20"/>
                <w:szCs w:val="20"/>
              </w:rPr>
              <w:t>Elizabeth A</w:t>
            </w:r>
            <w:r w:rsidR="0021024E" w:rsidRPr="00D20839">
              <w:rPr>
                <w:sz w:val="20"/>
                <w:szCs w:val="20"/>
              </w:rPr>
              <w:t xml:space="preserve">. </w:t>
            </w:r>
          </w:p>
        </w:tc>
        <w:tc>
          <w:tcPr>
            <w:tcW w:w="1890" w:type="dxa"/>
            <w:tcBorders>
              <w:top w:val="nil"/>
              <w:left w:val="nil"/>
              <w:bottom w:val="single" w:sz="8" w:space="0" w:color="auto"/>
              <w:right w:val="single" w:sz="8" w:space="0" w:color="auto"/>
            </w:tcBorders>
            <w:vAlign w:val="center"/>
          </w:tcPr>
          <w:p w:rsidR="0021024E" w:rsidRPr="00D20839" w:rsidRDefault="000019AA" w:rsidP="0021024E">
            <w:pPr>
              <w:rPr>
                <w:rFonts w:asciiTheme="minorHAnsi" w:hAnsiTheme="minorHAnsi" w:cstheme="minorHAnsi"/>
                <w:sz w:val="20"/>
                <w:szCs w:val="20"/>
              </w:rPr>
            </w:pPr>
            <w:r w:rsidRPr="00D20839">
              <w:rPr>
                <w:sz w:val="20"/>
                <w:szCs w:val="20"/>
              </w:rPr>
              <w:t>George, DO</w:t>
            </w:r>
          </w:p>
        </w:tc>
        <w:tc>
          <w:tcPr>
            <w:tcW w:w="5580" w:type="dxa"/>
            <w:gridSpan w:val="3"/>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r w:rsidR="0021024E" w:rsidRPr="00D20839" w:rsidTr="00EB2D1B">
        <w:tc>
          <w:tcPr>
            <w:tcW w:w="2155" w:type="dxa"/>
            <w:tcBorders>
              <w:top w:val="nil"/>
              <w:left w:val="single" w:sz="8" w:space="0" w:color="auto"/>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Presenter</w:t>
            </w:r>
          </w:p>
        </w:tc>
        <w:tc>
          <w:tcPr>
            <w:tcW w:w="1350" w:type="dxa"/>
            <w:tcBorders>
              <w:top w:val="nil"/>
              <w:left w:val="nil"/>
              <w:bottom w:val="single" w:sz="8" w:space="0" w:color="auto"/>
              <w:right w:val="single" w:sz="8" w:space="0" w:color="auto"/>
            </w:tcBorders>
            <w:vAlign w:val="center"/>
          </w:tcPr>
          <w:p w:rsidR="004555D9" w:rsidRPr="00D20839" w:rsidRDefault="00BE62C8" w:rsidP="0021024E">
            <w:pPr>
              <w:rPr>
                <w:sz w:val="20"/>
                <w:szCs w:val="20"/>
              </w:rPr>
            </w:pPr>
            <w:r>
              <w:rPr>
                <w:sz w:val="20"/>
                <w:szCs w:val="20"/>
              </w:rPr>
              <w:t>Jeff</w:t>
            </w:r>
          </w:p>
        </w:tc>
        <w:tc>
          <w:tcPr>
            <w:tcW w:w="1890" w:type="dxa"/>
            <w:tcBorders>
              <w:top w:val="nil"/>
              <w:left w:val="nil"/>
              <w:bottom w:val="single" w:sz="8" w:space="0" w:color="auto"/>
              <w:right w:val="single" w:sz="8" w:space="0" w:color="auto"/>
            </w:tcBorders>
            <w:vAlign w:val="center"/>
          </w:tcPr>
          <w:p w:rsidR="004555D9" w:rsidRPr="00D20839" w:rsidRDefault="004555D9" w:rsidP="0021024E">
            <w:pPr>
              <w:rPr>
                <w:sz w:val="20"/>
                <w:szCs w:val="20"/>
              </w:rPr>
            </w:pPr>
            <w:r w:rsidRPr="00D20839">
              <w:rPr>
                <w:sz w:val="20"/>
                <w:szCs w:val="20"/>
              </w:rPr>
              <w:t xml:space="preserve"> </w:t>
            </w:r>
            <w:r w:rsidR="00BE62C8">
              <w:rPr>
                <w:sz w:val="20"/>
                <w:szCs w:val="20"/>
              </w:rPr>
              <w:t xml:space="preserve">Owen, D.O. </w:t>
            </w:r>
          </w:p>
        </w:tc>
        <w:tc>
          <w:tcPr>
            <w:tcW w:w="5580" w:type="dxa"/>
            <w:gridSpan w:val="3"/>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r w:rsidR="0021024E" w:rsidRPr="00D20839" w:rsidTr="00EB2D1B">
        <w:tc>
          <w:tcPr>
            <w:tcW w:w="2155" w:type="dxa"/>
            <w:tcBorders>
              <w:top w:val="nil"/>
              <w:left w:val="single" w:sz="8" w:space="0" w:color="auto"/>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Course Director / Planning Committee / Moderator/ Presenter-Panelist</w:t>
            </w:r>
          </w:p>
        </w:tc>
        <w:tc>
          <w:tcPr>
            <w:tcW w:w="135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Ashley  E.</w:t>
            </w:r>
          </w:p>
        </w:tc>
        <w:tc>
          <w:tcPr>
            <w:tcW w:w="1890" w:type="dxa"/>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cstheme="minorHAnsi"/>
                <w:sz w:val="20"/>
                <w:szCs w:val="20"/>
              </w:rPr>
            </w:pPr>
            <w:r w:rsidRPr="00D20839">
              <w:rPr>
                <w:rFonts w:asciiTheme="minorHAnsi" w:hAnsiTheme="minorHAnsi" w:cstheme="minorHAnsi"/>
                <w:sz w:val="20"/>
                <w:szCs w:val="20"/>
              </w:rPr>
              <w:t>Walker, MD</w:t>
            </w:r>
          </w:p>
        </w:tc>
        <w:tc>
          <w:tcPr>
            <w:tcW w:w="5580" w:type="dxa"/>
            <w:gridSpan w:val="3"/>
            <w:tcBorders>
              <w:top w:val="nil"/>
              <w:left w:val="nil"/>
              <w:bottom w:val="single" w:sz="8" w:space="0" w:color="auto"/>
              <w:right w:val="single" w:sz="8" w:space="0" w:color="auto"/>
            </w:tcBorders>
            <w:vAlign w:val="center"/>
          </w:tcPr>
          <w:p w:rsidR="0021024E" w:rsidRPr="00D20839" w:rsidRDefault="0021024E" w:rsidP="0021024E">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r w:rsidR="000019AA" w:rsidRPr="00D20839" w:rsidTr="00EB2D1B">
        <w:tc>
          <w:tcPr>
            <w:tcW w:w="2155" w:type="dxa"/>
            <w:tcBorders>
              <w:top w:val="nil"/>
              <w:left w:val="single" w:sz="8" w:space="0" w:color="auto"/>
              <w:bottom w:val="single" w:sz="8" w:space="0" w:color="auto"/>
              <w:right w:val="single" w:sz="8" w:space="0" w:color="auto"/>
            </w:tcBorders>
            <w:vAlign w:val="center"/>
          </w:tcPr>
          <w:p w:rsidR="000019AA" w:rsidRPr="00D20839" w:rsidRDefault="000019AA" w:rsidP="000019AA">
            <w:pPr>
              <w:rPr>
                <w:rFonts w:asciiTheme="minorHAnsi" w:hAnsiTheme="minorHAnsi" w:cstheme="minorHAnsi"/>
                <w:sz w:val="20"/>
                <w:szCs w:val="20"/>
              </w:rPr>
            </w:pPr>
            <w:r w:rsidRPr="00D20839">
              <w:rPr>
                <w:rFonts w:asciiTheme="minorHAnsi" w:hAnsiTheme="minorHAnsi" w:cstheme="minorHAnsi"/>
                <w:sz w:val="20"/>
                <w:szCs w:val="20"/>
              </w:rPr>
              <w:t>Course Contact</w:t>
            </w:r>
          </w:p>
        </w:tc>
        <w:tc>
          <w:tcPr>
            <w:tcW w:w="1350" w:type="dxa"/>
            <w:tcBorders>
              <w:top w:val="nil"/>
              <w:left w:val="nil"/>
              <w:bottom w:val="single" w:sz="8" w:space="0" w:color="auto"/>
              <w:right w:val="single" w:sz="8" w:space="0" w:color="auto"/>
            </w:tcBorders>
            <w:vAlign w:val="center"/>
          </w:tcPr>
          <w:p w:rsidR="000019AA" w:rsidRPr="00D20839" w:rsidRDefault="000019AA" w:rsidP="000019AA">
            <w:pPr>
              <w:rPr>
                <w:rFonts w:asciiTheme="minorHAnsi" w:hAnsiTheme="minorHAnsi" w:cstheme="minorHAnsi"/>
                <w:sz w:val="20"/>
                <w:szCs w:val="20"/>
              </w:rPr>
            </w:pPr>
            <w:r w:rsidRPr="00D20839">
              <w:rPr>
                <w:rFonts w:asciiTheme="minorHAnsi" w:hAnsiTheme="minorHAnsi" w:cstheme="minorHAnsi"/>
                <w:sz w:val="20"/>
                <w:szCs w:val="20"/>
              </w:rPr>
              <w:t>Rhonda G.</w:t>
            </w:r>
          </w:p>
        </w:tc>
        <w:tc>
          <w:tcPr>
            <w:tcW w:w="1890" w:type="dxa"/>
            <w:tcBorders>
              <w:top w:val="nil"/>
              <w:left w:val="nil"/>
              <w:bottom w:val="single" w:sz="8" w:space="0" w:color="auto"/>
              <w:right w:val="single" w:sz="8" w:space="0" w:color="auto"/>
            </w:tcBorders>
            <w:vAlign w:val="center"/>
          </w:tcPr>
          <w:p w:rsidR="000019AA" w:rsidRPr="00D20839" w:rsidRDefault="000019AA" w:rsidP="000019AA">
            <w:pPr>
              <w:rPr>
                <w:rFonts w:asciiTheme="minorHAnsi" w:hAnsiTheme="minorHAnsi" w:cstheme="minorHAnsi"/>
                <w:sz w:val="20"/>
                <w:szCs w:val="20"/>
              </w:rPr>
            </w:pPr>
            <w:r w:rsidRPr="00D20839">
              <w:rPr>
                <w:rFonts w:asciiTheme="minorHAnsi" w:hAnsiTheme="minorHAnsi" w:cstheme="minorHAnsi"/>
                <w:sz w:val="20"/>
                <w:szCs w:val="20"/>
              </w:rPr>
              <w:t>Wallace</w:t>
            </w:r>
          </w:p>
        </w:tc>
        <w:tc>
          <w:tcPr>
            <w:tcW w:w="5580" w:type="dxa"/>
            <w:gridSpan w:val="3"/>
            <w:tcBorders>
              <w:top w:val="nil"/>
              <w:left w:val="nil"/>
              <w:bottom w:val="single" w:sz="8" w:space="0" w:color="auto"/>
              <w:right w:val="single" w:sz="8" w:space="0" w:color="auto"/>
            </w:tcBorders>
            <w:vAlign w:val="center"/>
          </w:tcPr>
          <w:p w:rsidR="000019AA" w:rsidRPr="00D20839" w:rsidRDefault="000019AA" w:rsidP="000019AA">
            <w:pPr>
              <w:rPr>
                <w:rFonts w:asciiTheme="minorHAnsi" w:hAnsiTheme="minorHAnsi"/>
                <w:sz w:val="20"/>
                <w:szCs w:val="20"/>
              </w:rPr>
            </w:pPr>
            <w:r w:rsidRPr="00D20839">
              <w:rPr>
                <w:rFonts w:asciiTheme="minorHAnsi" w:hAnsiTheme="minorHAnsi"/>
                <w:sz w:val="20"/>
                <w:szCs w:val="20"/>
              </w:rPr>
              <w:t>I have no financial relationships or affiliations with ineligible companies to disclose.</w:t>
            </w:r>
          </w:p>
        </w:tc>
      </w:tr>
    </w:tbl>
    <w:p w:rsidR="00A53DE7" w:rsidRPr="00D20839" w:rsidRDefault="00A53DE7" w:rsidP="000019AA">
      <w:pPr>
        <w:rPr>
          <w:rFonts w:asciiTheme="minorHAnsi" w:hAnsiTheme="minorHAnsi"/>
          <w:sz w:val="20"/>
          <w:szCs w:val="20"/>
        </w:rPr>
      </w:pPr>
    </w:p>
    <w:sectPr w:rsidR="00A53DE7" w:rsidRPr="00D20839" w:rsidSect="00884FE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3E" w:rsidRDefault="00743A3E" w:rsidP="004F5896">
      <w:r>
        <w:separator/>
      </w:r>
    </w:p>
  </w:endnote>
  <w:endnote w:type="continuationSeparator" w:id="0">
    <w:p w:rsidR="00743A3E" w:rsidRDefault="00743A3E"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69" w:rsidRPr="00C02746" w:rsidRDefault="00165F69" w:rsidP="003C691A">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3E" w:rsidRDefault="00743A3E" w:rsidP="004F5896">
      <w:r>
        <w:separator/>
      </w:r>
    </w:p>
  </w:footnote>
  <w:footnote w:type="continuationSeparator" w:id="0">
    <w:p w:rsidR="00743A3E" w:rsidRDefault="00743A3E"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C0CBC"/>
    <w:multiLevelType w:val="hybridMultilevel"/>
    <w:tmpl w:val="AE4E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98A1DE2"/>
    <w:multiLevelType w:val="hybridMultilevel"/>
    <w:tmpl w:val="2BAE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E5609"/>
    <w:multiLevelType w:val="hybridMultilevel"/>
    <w:tmpl w:val="3AE84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019AA"/>
    <w:rsid w:val="000970B2"/>
    <w:rsid w:val="00102E3E"/>
    <w:rsid w:val="001376F1"/>
    <w:rsid w:val="00165F69"/>
    <w:rsid w:val="001A763F"/>
    <w:rsid w:val="001D02AF"/>
    <w:rsid w:val="001E4BF3"/>
    <w:rsid w:val="0021024E"/>
    <w:rsid w:val="0021756A"/>
    <w:rsid w:val="00261405"/>
    <w:rsid w:val="00266DEC"/>
    <w:rsid w:val="0027396F"/>
    <w:rsid w:val="00294E29"/>
    <w:rsid w:val="002F4AB5"/>
    <w:rsid w:val="00341461"/>
    <w:rsid w:val="00355683"/>
    <w:rsid w:val="003A5025"/>
    <w:rsid w:val="003C691A"/>
    <w:rsid w:val="003E1622"/>
    <w:rsid w:val="003F66FB"/>
    <w:rsid w:val="004555D9"/>
    <w:rsid w:val="00483DDC"/>
    <w:rsid w:val="004C2A5E"/>
    <w:rsid w:val="004D536D"/>
    <w:rsid w:val="004E0569"/>
    <w:rsid w:val="004F5896"/>
    <w:rsid w:val="005215E7"/>
    <w:rsid w:val="005C2A2A"/>
    <w:rsid w:val="005F7A6E"/>
    <w:rsid w:val="00625ED8"/>
    <w:rsid w:val="00632E69"/>
    <w:rsid w:val="00650E06"/>
    <w:rsid w:val="00663AC9"/>
    <w:rsid w:val="006A2E9E"/>
    <w:rsid w:val="006A4239"/>
    <w:rsid w:val="006B3EEF"/>
    <w:rsid w:val="006C2108"/>
    <w:rsid w:val="006E4076"/>
    <w:rsid w:val="00710A31"/>
    <w:rsid w:val="00720047"/>
    <w:rsid w:val="007203CC"/>
    <w:rsid w:val="00743A3E"/>
    <w:rsid w:val="00782689"/>
    <w:rsid w:val="00790F6B"/>
    <w:rsid w:val="008051FA"/>
    <w:rsid w:val="00861F9D"/>
    <w:rsid w:val="00884FE8"/>
    <w:rsid w:val="00896743"/>
    <w:rsid w:val="008A6435"/>
    <w:rsid w:val="008C0275"/>
    <w:rsid w:val="008E4B02"/>
    <w:rsid w:val="008E73F8"/>
    <w:rsid w:val="00922708"/>
    <w:rsid w:val="0093422A"/>
    <w:rsid w:val="00977EB6"/>
    <w:rsid w:val="00997A70"/>
    <w:rsid w:val="009B6304"/>
    <w:rsid w:val="009C3982"/>
    <w:rsid w:val="009C46ED"/>
    <w:rsid w:val="00A03652"/>
    <w:rsid w:val="00A25A01"/>
    <w:rsid w:val="00A42CDD"/>
    <w:rsid w:val="00A50883"/>
    <w:rsid w:val="00A50DAA"/>
    <w:rsid w:val="00A53DE7"/>
    <w:rsid w:val="00A8243C"/>
    <w:rsid w:val="00B1119F"/>
    <w:rsid w:val="00B26176"/>
    <w:rsid w:val="00B578B1"/>
    <w:rsid w:val="00B864E8"/>
    <w:rsid w:val="00B96582"/>
    <w:rsid w:val="00BB46E7"/>
    <w:rsid w:val="00BB496D"/>
    <w:rsid w:val="00BB59A9"/>
    <w:rsid w:val="00BD1608"/>
    <w:rsid w:val="00BE62C8"/>
    <w:rsid w:val="00C007BD"/>
    <w:rsid w:val="00C02746"/>
    <w:rsid w:val="00C74B49"/>
    <w:rsid w:val="00D20839"/>
    <w:rsid w:val="00D544C0"/>
    <w:rsid w:val="00E125D3"/>
    <w:rsid w:val="00E6288E"/>
    <w:rsid w:val="00E848AC"/>
    <w:rsid w:val="00E87C1D"/>
    <w:rsid w:val="00EB2D1B"/>
    <w:rsid w:val="00EC577B"/>
    <w:rsid w:val="00EF34DC"/>
    <w:rsid w:val="00F0560F"/>
    <w:rsid w:val="00F41EB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66DEC"/>
    <w:rPr>
      <w:rFonts w:cstheme="minorBidi"/>
      <w:szCs w:val="21"/>
    </w:rPr>
  </w:style>
  <w:style w:type="character" w:customStyle="1" w:styleId="PlainTextChar">
    <w:name w:val="Plain Text Char"/>
    <w:basedOn w:val="DefaultParagraphFont"/>
    <w:link w:val="PlainText"/>
    <w:uiPriority w:val="99"/>
    <w:semiHidden/>
    <w:rsid w:val="00266DEC"/>
    <w:rPr>
      <w:rFonts w:ascii="Calibri" w:hAnsi="Calibri"/>
      <w:szCs w:val="21"/>
    </w:rPr>
  </w:style>
  <w:style w:type="character" w:styleId="FollowedHyperlink">
    <w:name w:val="FollowedHyperlink"/>
    <w:basedOn w:val="DefaultParagraphFont"/>
    <w:uiPriority w:val="99"/>
    <w:semiHidden/>
    <w:unhideWhenUsed/>
    <w:rsid w:val="00266DEC"/>
    <w:rPr>
      <w:color w:val="954F72" w:themeColor="followedHyperlink"/>
      <w:u w:val="single"/>
    </w:rPr>
  </w:style>
  <w:style w:type="paragraph" w:customStyle="1" w:styleId="Default">
    <w:name w:val="Default"/>
    <w:basedOn w:val="Normal"/>
    <w:rsid w:val="00BD1608"/>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3402">
      <w:bodyDiv w:val="1"/>
      <w:marLeft w:val="0"/>
      <w:marRight w:val="0"/>
      <w:marTop w:val="0"/>
      <w:marBottom w:val="0"/>
      <w:divBdr>
        <w:top w:val="none" w:sz="0" w:space="0" w:color="auto"/>
        <w:left w:val="none" w:sz="0" w:space="0" w:color="auto"/>
        <w:bottom w:val="none" w:sz="0" w:space="0" w:color="auto"/>
        <w:right w:val="none" w:sz="0" w:space="0" w:color="auto"/>
      </w:divBdr>
    </w:div>
    <w:div w:id="457575011">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651175112">
      <w:bodyDiv w:val="1"/>
      <w:marLeft w:val="0"/>
      <w:marRight w:val="0"/>
      <w:marTop w:val="0"/>
      <w:marBottom w:val="0"/>
      <w:divBdr>
        <w:top w:val="none" w:sz="0" w:space="0" w:color="auto"/>
        <w:left w:val="none" w:sz="0" w:space="0" w:color="auto"/>
        <w:bottom w:val="none" w:sz="0" w:space="0" w:color="auto"/>
        <w:right w:val="none" w:sz="0" w:space="0" w:color="auto"/>
      </w:divBdr>
    </w:div>
    <w:div w:id="853569679">
      <w:bodyDiv w:val="1"/>
      <w:marLeft w:val="0"/>
      <w:marRight w:val="0"/>
      <w:marTop w:val="0"/>
      <w:marBottom w:val="0"/>
      <w:divBdr>
        <w:top w:val="none" w:sz="0" w:space="0" w:color="auto"/>
        <w:left w:val="none" w:sz="0" w:space="0" w:color="auto"/>
        <w:bottom w:val="none" w:sz="0" w:space="0" w:color="auto"/>
        <w:right w:val="none" w:sz="0" w:space="0" w:color="auto"/>
      </w:divBdr>
    </w:div>
    <w:div w:id="986665967">
      <w:bodyDiv w:val="1"/>
      <w:marLeft w:val="0"/>
      <w:marRight w:val="0"/>
      <w:marTop w:val="0"/>
      <w:marBottom w:val="0"/>
      <w:divBdr>
        <w:top w:val="none" w:sz="0" w:space="0" w:color="auto"/>
        <w:left w:val="none" w:sz="0" w:space="0" w:color="auto"/>
        <w:bottom w:val="none" w:sz="0" w:space="0" w:color="auto"/>
        <w:right w:val="none" w:sz="0" w:space="0" w:color="auto"/>
      </w:divBdr>
    </w:div>
    <w:div w:id="1120535143">
      <w:bodyDiv w:val="1"/>
      <w:marLeft w:val="0"/>
      <w:marRight w:val="0"/>
      <w:marTop w:val="0"/>
      <w:marBottom w:val="0"/>
      <w:divBdr>
        <w:top w:val="none" w:sz="0" w:space="0" w:color="auto"/>
        <w:left w:val="none" w:sz="0" w:space="0" w:color="auto"/>
        <w:bottom w:val="none" w:sz="0" w:space="0" w:color="auto"/>
        <w:right w:val="none" w:sz="0" w:space="0" w:color="auto"/>
      </w:divBdr>
    </w:div>
    <w:div w:id="1161308689">
      <w:bodyDiv w:val="1"/>
      <w:marLeft w:val="0"/>
      <w:marRight w:val="0"/>
      <w:marTop w:val="0"/>
      <w:marBottom w:val="0"/>
      <w:divBdr>
        <w:top w:val="none" w:sz="0" w:space="0" w:color="auto"/>
        <w:left w:val="none" w:sz="0" w:space="0" w:color="auto"/>
        <w:bottom w:val="none" w:sz="0" w:space="0" w:color="auto"/>
        <w:right w:val="none" w:sz="0" w:space="0" w:color="auto"/>
      </w:divBdr>
    </w:div>
    <w:div w:id="1544947806">
      <w:bodyDiv w:val="1"/>
      <w:marLeft w:val="0"/>
      <w:marRight w:val="0"/>
      <w:marTop w:val="0"/>
      <w:marBottom w:val="0"/>
      <w:divBdr>
        <w:top w:val="none" w:sz="0" w:space="0" w:color="auto"/>
        <w:left w:val="none" w:sz="0" w:space="0" w:color="auto"/>
        <w:bottom w:val="none" w:sz="0" w:space="0" w:color="auto"/>
        <w:right w:val="none" w:sz="0" w:space="0" w:color="auto"/>
      </w:divBdr>
    </w:div>
    <w:div w:id="18616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6E27-F95E-47AA-AA0F-35FDE0AB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5312</Characters>
  <Application>Microsoft Office Word</Application>
  <DocSecurity>0</DocSecurity>
  <Lines>2656</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2021-09-27T20:54:00Z</dcterms:created>
  <dcterms:modified xsi:type="dcterms:W3CDTF">2021-09-27T20:54:00Z</dcterms:modified>
</cp:coreProperties>
</file>