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852A40" w:rsidP="00977EB6">
      <w:pPr>
        <w:jc w:val="center"/>
        <w:rPr>
          <w:rFonts w:asciiTheme="minorHAnsi" w:hAnsiTheme="minorHAnsi"/>
          <w:color w:val="000000"/>
          <w:sz w:val="24"/>
          <w:szCs w:val="24"/>
        </w:rPr>
      </w:pPr>
      <w:r>
        <w:rPr>
          <w:rFonts w:asciiTheme="minorHAnsi" w:hAnsiTheme="minorHAnsi"/>
          <w:color w:val="000000"/>
          <w:sz w:val="24"/>
          <w:szCs w:val="24"/>
        </w:rPr>
        <w:t>Academy of Teaching Scholars</w:t>
      </w:r>
    </w:p>
    <w:p w:rsidR="00852A40" w:rsidRPr="00E125D3" w:rsidRDefault="00852A40" w:rsidP="00977EB6">
      <w:pPr>
        <w:jc w:val="center"/>
        <w:rPr>
          <w:rFonts w:asciiTheme="minorHAnsi" w:hAnsiTheme="minorHAnsi"/>
          <w:color w:val="000000"/>
          <w:sz w:val="24"/>
          <w:szCs w:val="24"/>
        </w:rPr>
      </w:pPr>
      <w:r>
        <w:rPr>
          <w:rFonts w:asciiTheme="minorHAnsi" w:hAnsiTheme="minorHAnsi"/>
          <w:color w:val="000000"/>
          <w:sz w:val="24"/>
          <w:szCs w:val="24"/>
        </w:rPr>
        <w:t>Lunch and Learn</w:t>
      </w:r>
    </w:p>
    <w:p w:rsidR="00884FE8" w:rsidRPr="00E125D3" w:rsidRDefault="00852A4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884FE8" w:rsidRPr="00E125D3">
        <w:rPr>
          <w:rFonts w:asciiTheme="minorHAnsi" w:hAnsiTheme="minorHAnsi"/>
          <w:color w:val="000000"/>
          <w:sz w:val="24"/>
          <w:szCs w:val="24"/>
        </w:rPr>
        <w:t xml:space="preserve">, </w:t>
      </w:r>
      <w:r w:rsidR="00832D54">
        <w:rPr>
          <w:rFonts w:asciiTheme="minorHAnsi" w:hAnsiTheme="minorHAnsi"/>
          <w:color w:val="000000"/>
          <w:sz w:val="24"/>
          <w:szCs w:val="24"/>
        </w:rPr>
        <w:t>October</w:t>
      </w:r>
      <w:r w:rsidR="00FF72C7">
        <w:rPr>
          <w:rFonts w:asciiTheme="minorHAnsi" w:hAnsiTheme="minorHAnsi"/>
          <w:color w:val="000000"/>
          <w:sz w:val="24"/>
          <w:szCs w:val="24"/>
        </w:rPr>
        <w:t xml:space="preserve"> </w:t>
      </w:r>
      <w:r w:rsidR="00832D54">
        <w:rPr>
          <w:rFonts w:asciiTheme="minorHAnsi" w:hAnsiTheme="minorHAnsi"/>
          <w:color w:val="000000"/>
          <w:sz w:val="24"/>
          <w:szCs w:val="24"/>
        </w:rPr>
        <w:t>14</w:t>
      </w:r>
      <w:r>
        <w:rPr>
          <w:rFonts w:asciiTheme="minorHAnsi" w:hAnsiTheme="minorHAnsi"/>
          <w:color w:val="000000"/>
          <w:sz w:val="24"/>
          <w:szCs w:val="24"/>
        </w:rPr>
        <w:t>, 2021</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852A40">
        <w:rPr>
          <w:rFonts w:asciiTheme="minorHAnsi" w:hAnsiTheme="minorHAnsi"/>
          <w:color w:val="000000"/>
          <w:sz w:val="24"/>
          <w:szCs w:val="24"/>
        </w:rPr>
        <w:t>2:00p</w:t>
      </w:r>
      <w:r w:rsidR="00EF34DC" w:rsidRPr="00E125D3">
        <w:rPr>
          <w:rFonts w:asciiTheme="minorHAnsi" w:hAnsiTheme="minorHAnsi"/>
          <w:color w:val="000000"/>
          <w:sz w:val="24"/>
          <w:szCs w:val="24"/>
        </w:rPr>
        <w:t xml:space="preserve">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hyperlink r:id="rId7" w:history="1">
        <w:r w:rsidR="00852A40" w:rsidRPr="00852A40">
          <w:rPr>
            <w:rStyle w:val="Hyperlink"/>
            <w:rFonts w:asciiTheme="minorHAnsi" w:hAnsiTheme="minorHAnsi"/>
            <w:b/>
            <w:bCs/>
            <w:sz w:val="28"/>
            <w:szCs w:val="28"/>
          </w:rPr>
          <w:t>Zoom</w:t>
        </w:r>
      </w:hyperlink>
      <w:r w:rsidR="00852A40">
        <w:rPr>
          <w:rFonts w:asciiTheme="minorHAnsi" w:hAnsiTheme="minorHAnsi"/>
          <w:b/>
          <w:bCs/>
          <w:color w:val="1F497D"/>
          <w:sz w:val="28"/>
          <w:szCs w:val="28"/>
        </w:rPr>
        <w:t xml:space="preserve"> </w:t>
      </w:r>
      <w:r w:rsidR="00852A40" w:rsidRPr="00852A40">
        <w:rPr>
          <w:rFonts w:asciiTheme="minorHAnsi" w:hAnsiTheme="minorHAnsi"/>
          <w:b/>
          <w:bCs/>
          <w:sz w:val="28"/>
          <w:szCs w:val="28"/>
        </w:rPr>
        <w:t>Meeting ID: 912 1429 4199</w:t>
      </w:r>
      <w:r w:rsidR="009B6304" w:rsidRPr="00852A40">
        <w:rPr>
          <w:rFonts w:asciiTheme="minorHAnsi" w:hAnsiTheme="minorHAnsi"/>
          <w:b/>
          <w:bCs/>
          <w:sz w:val="28"/>
          <w:szCs w:val="28"/>
        </w:rPr>
        <w:t xml:space="preserve"> </w:t>
      </w:r>
      <w:r w:rsidR="00852A40">
        <w:rPr>
          <w:rFonts w:asciiTheme="minorHAnsi" w:hAnsiTheme="minorHAnsi"/>
          <w:b/>
          <w:bCs/>
          <w:sz w:val="28"/>
          <w:szCs w:val="28"/>
        </w:rPr>
        <w:t xml:space="preserve">Passcode: </w:t>
      </w:r>
      <w:r w:rsidR="00852A40" w:rsidRPr="00852A40">
        <w:rPr>
          <w:rFonts w:asciiTheme="minorHAnsi" w:hAnsiTheme="minorHAnsi"/>
          <w:b/>
          <w:bCs/>
          <w:sz w:val="28"/>
          <w:szCs w:val="28"/>
        </w:rPr>
        <w:t>47616708</w:t>
      </w:r>
      <w:r w:rsidRPr="00852A40">
        <w:rPr>
          <w:rFonts w:asciiTheme="minorHAnsi" w:hAnsiTheme="minorHAnsi"/>
          <w:b/>
          <w:bCs/>
          <w:color w:val="FF0000"/>
          <w:sz w:val="28"/>
          <w:szCs w:val="28"/>
        </w:rPr>
        <w:t>*</w:t>
      </w:r>
      <w:r w:rsidRPr="00E125D3">
        <w:rPr>
          <w:rFonts w:asciiTheme="minorHAnsi" w:hAnsiTheme="minorHAnsi"/>
          <w:b/>
          <w:bCs/>
          <w:color w:val="FF0000"/>
          <w:sz w:val="28"/>
          <w:szCs w:val="28"/>
        </w:rPr>
        <w:t xml:space="preserve"> * *</w:t>
      </w:r>
    </w:p>
    <w:p w:rsidR="00884FE8" w:rsidRPr="00977EB6" w:rsidRDefault="00884FE8" w:rsidP="00977EB6">
      <w:pPr>
        <w:jc w:val="center"/>
        <w:rPr>
          <w:rFonts w:asciiTheme="minorHAnsi" w:hAnsiTheme="minorHAnsi"/>
          <w:color w:val="FF0000"/>
        </w:rPr>
      </w:pPr>
    </w:p>
    <w:p w:rsidR="00884FE8" w:rsidRPr="00977EB6" w:rsidRDefault="00884FE8" w:rsidP="00202B1A">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202B1A">
        <w:rPr>
          <w:rFonts w:asciiTheme="minorHAnsi" w:hAnsiTheme="minorHAnsi"/>
          <w:b/>
          <w:bCs/>
          <w:color w:val="FF0000"/>
          <w:sz w:val="36"/>
          <w:szCs w:val="36"/>
        </w:rPr>
        <w:t>Medical Educator Workshop Development and Presentation Skills</w:t>
      </w:r>
      <w:r w:rsidR="00FF72C7">
        <w:rPr>
          <w:rFonts w:asciiTheme="minorHAnsi" w:hAnsiTheme="minorHAnsi"/>
          <w:b/>
          <w:bCs/>
          <w:color w:val="FF0000"/>
          <w:sz w:val="36"/>
          <w:szCs w:val="36"/>
        </w:rPr>
        <w:t xml:space="preserve"> </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202B1A"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Katherine E. Mason, MD</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852A40" w:rsidRPr="00202B1A" w:rsidRDefault="00C007BD" w:rsidP="00852A40">
      <w:pPr>
        <w:rPr>
          <w:rFonts w:ascii="Times New Roman" w:hAnsi="Times New Roman"/>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202B1A">
        <w:t xml:space="preserve">Medical educators are expected to disseminate their work and share their skills to have impact and </w:t>
      </w:r>
      <w:bookmarkStart w:id="0" w:name="_GoBack"/>
      <w:bookmarkEnd w:id="0"/>
      <w:r w:rsidR="00202B1A">
        <w:t>meet standards for promotion. Presenting workshops at regional and national meetings is one way to achieve these goals, yet most educational faculty were not taught these skills in their training.</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202B1A" w:rsidRPr="002425C6" w:rsidRDefault="00202B1A" w:rsidP="00202B1A">
      <w:pPr>
        <w:pStyle w:val="ListParagraph"/>
        <w:numPr>
          <w:ilvl w:val="0"/>
          <w:numId w:val="3"/>
        </w:numPr>
        <w:rPr>
          <w:rFonts w:ascii="Times New Roman" w:hAnsi="Times New Roman"/>
        </w:rPr>
      </w:pPr>
      <w:r>
        <w:t>Incorporate key features of adult learning theory into the design of a workshop to be submitted for national dissemination</w:t>
      </w:r>
      <w:r w:rsidR="002425C6">
        <w:t>.</w:t>
      </w:r>
    </w:p>
    <w:p w:rsidR="00852A40" w:rsidRPr="002425C6" w:rsidRDefault="00202B1A" w:rsidP="002425C6">
      <w:pPr>
        <w:pStyle w:val="ListParagraph"/>
        <w:numPr>
          <w:ilvl w:val="0"/>
          <w:numId w:val="3"/>
        </w:numPr>
        <w:rPr>
          <w:rFonts w:ascii="Times New Roman" w:hAnsi="Times New Roman"/>
        </w:rPr>
      </w:pPr>
      <w:r>
        <w:t>Complete a rough draft of one or two elements of workshop design.</w:t>
      </w:r>
    </w:p>
    <w:p w:rsidR="00202B1A" w:rsidRPr="00852A40" w:rsidRDefault="00202B1A" w:rsidP="00852A40">
      <w:pPr>
        <w:pStyle w:val="ListParagraph"/>
        <w:rPr>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0D5242" w:rsidRPr="000D5242" w:rsidRDefault="000D5242" w:rsidP="000D5242">
      <w:pPr>
        <w:rPr>
          <w:rFonts w:asciiTheme="minorHAnsi" w:hAnsiTheme="minorHAnsi"/>
          <w:b/>
          <w:bCs/>
          <w:color w:val="000000"/>
        </w:rPr>
      </w:pPr>
      <w:r w:rsidRPr="000D5242">
        <w:rPr>
          <w:rFonts w:asciiTheme="minorHAnsi" w:hAnsiTheme="minorHAnsi"/>
          <w:b/>
          <w:bCs/>
          <w:color w:val="000000"/>
        </w:rPr>
        <w:t>Non-Clinical Activity:</w:t>
      </w:r>
    </w:p>
    <w:p w:rsidR="000D5242" w:rsidRPr="00510CB8" w:rsidRDefault="000D5242" w:rsidP="000D5242">
      <w:pPr>
        <w:rPr>
          <w:rFonts w:asciiTheme="minorHAnsi" w:hAnsiTheme="minorHAnsi"/>
          <w:bCs/>
          <w:color w:val="000000"/>
        </w:rPr>
      </w:pPr>
      <w:r w:rsidRPr="00510CB8">
        <w:rPr>
          <w:rFonts w:asciiTheme="minorHAnsi" w:hAnsiTheme="minorHAnsi"/>
          <w:bCs/>
          <w:color w:val="000000"/>
        </w:rPr>
        <w:t xml:space="preserve">The University of Oklahoma College of Medicine, Office of Continuing Professional Development has determined this activity to be non-clinical. According to the ACCME’s Standards for Integrity and Independence in Accredited Continuing Education, providers of accredited education that is non-clinical, such as leadership or communication skills training, do not need to identify, mitigate, or disclose relevant financial relationships for any planners, faculty, and others in control of educational content.  </w:t>
      </w:r>
    </w:p>
    <w:p w:rsidR="000D5242" w:rsidRDefault="000D5242" w:rsidP="000D5242">
      <w:pPr>
        <w:rPr>
          <w:rFonts w:asciiTheme="minorHAnsi" w:hAnsiTheme="minorHAnsi"/>
          <w:b/>
          <w:bCs/>
          <w:color w:val="000000"/>
        </w:rPr>
      </w:pPr>
    </w:p>
    <w:p w:rsidR="00355683" w:rsidRPr="00BB46E7" w:rsidRDefault="00884FE8" w:rsidP="000D5242">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762F3A">
        <w:rPr>
          <w:rFonts w:asciiTheme="minorHAnsi" w:hAnsiTheme="minorHAnsi"/>
          <w:color w:val="000000"/>
        </w:rPr>
        <w:t xml:space="preserve">Kelsey Heggy </w:t>
      </w:r>
      <w:r w:rsidR="008C0275" w:rsidRPr="00BB46E7">
        <w:rPr>
          <w:rFonts w:asciiTheme="minorHAnsi" w:hAnsiTheme="minorHAnsi"/>
          <w:color w:val="000000"/>
        </w:rPr>
        <w:t xml:space="preserve"> at </w:t>
      </w:r>
      <w:r w:rsidR="00762F3A">
        <w:rPr>
          <w:rFonts w:asciiTheme="minorHAnsi" w:hAnsiTheme="minorHAnsi"/>
          <w:color w:val="000000"/>
        </w:rPr>
        <w:t>405-271-2265 or Kelsey-heggy@ouhsc.edu</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00AF4666">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p>
    <w:sectPr w:rsidR="008051FA"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A17EF"/>
    <w:rsid w:val="000D1E88"/>
    <w:rsid w:val="000D5242"/>
    <w:rsid w:val="00102E3E"/>
    <w:rsid w:val="001376F1"/>
    <w:rsid w:val="00165F69"/>
    <w:rsid w:val="001A763F"/>
    <w:rsid w:val="001C4CF8"/>
    <w:rsid w:val="001E4BF3"/>
    <w:rsid w:val="00202B1A"/>
    <w:rsid w:val="0021756A"/>
    <w:rsid w:val="002425C6"/>
    <w:rsid w:val="002F4AB5"/>
    <w:rsid w:val="00341461"/>
    <w:rsid w:val="00355683"/>
    <w:rsid w:val="003C691A"/>
    <w:rsid w:val="003E1622"/>
    <w:rsid w:val="003F66FB"/>
    <w:rsid w:val="00483DDC"/>
    <w:rsid w:val="004C2A5E"/>
    <w:rsid w:val="004D536D"/>
    <w:rsid w:val="004F5896"/>
    <w:rsid w:val="00510CB8"/>
    <w:rsid w:val="005215E7"/>
    <w:rsid w:val="005D687A"/>
    <w:rsid w:val="005F7A6E"/>
    <w:rsid w:val="00632E69"/>
    <w:rsid w:val="00650E06"/>
    <w:rsid w:val="006A2E9E"/>
    <w:rsid w:val="006A4239"/>
    <w:rsid w:val="006C2108"/>
    <w:rsid w:val="00710A31"/>
    <w:rsid w:val="00720047"/>
    <w:rsid w:val="007203CC"/>
    <w:rsid w:val="00762F3A"/>
    <w:rsid w:val="00782689"/>
    <w:rsid w:val="00790F6B"/>
    <w:rsid w:val="008051FA"/>
    <w:rsid w:val="00832D54"/>
    <w:rsid w:val="00852A40"/>
    <w:rsid w:val="00884FE8"/>
    <w:rsid w:val="00896743"/>
    <w:rsid w:val="008A6435"/>
    <w:rsid w:val="008C0275"/>
    <w:rsid w:val="00922708"/>
    <w:rsid w:val="00977EB6"/>
    <w:rsid w:val="00993726"/>
    <w:rsid w:val="009B6304"/>
    <w:rsid w:val="009C3982"/>
    <w:rsid w:val="00A42CDD"/>
    <w:rsid w:val="00A50DAA"/>
    <w:rsid w:val="00A53DE7"/>
    <w:rsid w:val="00A63EF7"/>
    <w:rsid w:val="00A6680C"/>
    <w:rsid w:val="00A8243C"/>
    <w:rsid w:val="00AF4666"/>
    <w:rsid w:val="00AF4BFC"/>
    <w:rsid w:val="00B044D1"/>
    <w:rsid w:val="00B1119F"/>
    <w:rsid w:val="00B26176"/>
    <w:rsid w:val="00B578B1"/>
    <w:rsid w:val="00B864E8"/>
    <w:rsid w:val="00B96582"/>
    <w:rsid w:val="00BB46E7"/>
    <w:rsid w:val="00BB496D"/>
    <w:rsid w:val="00C007BD"/>
    <w:rsid w:val="00C02746"/>
    <w:rsid w:val="00C74B49"/>
    <w:rsid w:val="00C85E86"/>
    <w:rsid w:val="00E125D3"/>
    <w:rsid w:val="00E309BA"/>
    <w:rsid w:val="00E6288E"/>
    <w:rsid w:val="00E848AC"/>
    <w:rsid w:val="00EC577B"/>
    <w:rsid w:val="00EC77B9"/>
    <w:rsid w:val="00EF34DC"/>
    <w:rsid w:val="00F41EB9"/>
    <w:rsid w:val="00FA73A0"/>
    <w:rsid w:val="00FB67C2"/>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28F0"/>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56">
      <w:bodyDiv w:val="1"/>
      <w:marLeft w:val="0"/>
      <w:marRight w:val="0"/>
      <w:marTop w:val="0"/>
      <w:marBottom w:val="0"/>
      <w:divBdr>
        <w:top w:val="none" w:sz="0" w:space="0" w:color="auto"/>
        <w:left w:val="none" w:sz="0" w:space="0" w:color="auto"/>
        <w:bottom w:val="none" w:sz="0" w:space="0" w:color="auto"/>
        <w:right w:val="none" w:sz="0" w:space="0" w:color="auto"/>
      </w:divBdr>
    </w:div>
    <w:div w:id="71239163">
      <w:bodyDiv w:val="1"/>
      <w:marLeft w:val="0"/>
      <w:marRight w:val="0"/>
      <w:marTop w:val="0"/>
      <w:marBottom w:val="0"/>
      <w:divBdr>
        <w:top w:val="none" w:sz="0" w:space="0" w:color="auto"/>
        <w:left w:val="none" w:sz="0" w:space="0" w:color="auto"/>
        <w:bottom w:val="none" w:sz="0" w:space="0" w:color="auto"/>
        <w:right w:val="none" w:sz="0" w:space="0" w:color="auto"/>
      </w:divBdr>
    </w:div>
    <w:div w:id="221141861">
      <w:bodyDiv w:val="1"/>
      <w:marLeft w:val="0"/>
      <w:marRight w:val="0"/>
      <w:marTop w:val="0"/>
      <w:marBottom w:val="0"/>
      <w:divBdr>
        <w:top w:val="none" w:sz="0" w:space="0" w:color="auto"/>
        <w:left w:val="none" w:sz="0" w:space="0" w:color="auto"/>
        <w:bottom w:val="none" w:sz="0" w:space="0" w:color="auto"/>
        <w:right w:val="none" w:sz="0" w:space="0" w:color="auto"/>
      </w:divBdr>
    </w:div>
    <w:div w:id="519051575">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168137278">
      <w:bodyDiv w:val="1"/>
      <w:marLeft w:val="0"/>
      <w:marRight w:val="0"/>
      <w:marTop w:val="0"/>
      <w:marBottom w:val="0"/>
      <w:divBdr>
        <w:top w:val="none" w:sz="0" w:space="0" w:color="auto"/>
        <w:left w:val="none" w:sz="0" w:space="0" w:color="auto"/>
        <w:bottom w:val="none" w:sz="0" w:space="0" w:color="auto"/>
        <w:right w:val="none" w:sz="0" w:space="0" w:color="auto"/>
      </w:divBdr>
    </w:div>
    <w:div w:id="1196232485">
      <w:bodyDiv w:val="1"/>
      <w:marLeft w:val="0"/>
      <w:marRight w:val="0"/>
      <w:marTop w:val="0"/>
      <w:marBottom w:val="0"/>
      <w:divBdr>
        <w:top w:val="none" w:sz="0" w:space="0" w:color="auto"/>
        <w:left w:val="none" w:sz="0" w:space="0" w:color="auto"/>
        <w:bottom w:val="none" w:sz="0" w:space="0" w:color="auto"/>
        <w:right w:val="none" w:sz="0" w:space="0" w:color="auto"/>
      </w:divBdr>
    </w:div>
    <w:div w:id="1674448632">
      <w:bodyDiv w:val="1"/>
      <w:marLeft w:val="0"/>
      <w:marRight w:val="0"/>
      <w:marTop w:val="0"/>
      <w:marBottom w:val="0"/>
      <w:divBdr>
        <w:top w:val="none" w:sz="0" w:space="0" w:color="auto"/>
        <w:left w:val="none" w:sz="0" w:space="0" w:color="auto"/>
        <w:bottom w:val="none" w:sz="0" w:space="0" w:color="auto"/>
        <w:right w:val="none" w:sz="0" w:space="0" w:color="auto"/>
      </w:divBdr>
    </w:div>
    <w:div w:id="19566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heggy\Downloads\scrawford@ou.edu" TargetMode="External"/><Relationship Id="rId3" Type="http://schemas.openxmlformats.org/officeDocument/2006/relationships/settings" Target="settings.xml"/><Relationship Id="rId7" Type="http://schemas.openxmlformats.org/officeDocument/2006/relationships/hyperlink" Target="https://zoom.us/j/91214294199?pwd=bzRQc3E5OXBuaUJVWWxmTWhmYXR5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heggy\Downloads\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4181</Characters>
  <Application>Microsoft Office Word</Application>
  <DocSecurity>0</DocSecurity>
  <Lines>2090</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3</cp:revision>
  <cp:lastPrinted>2017-06-12T17:39:00Z</cp:lastPrinted>
  <dcterms:created xsi:type="dcterms:W3CDTF">2021-09-27T19:54:00Z</dcterms:created>
  <dcterms:modified xsi:type="dcterms:W3CDTF">2021-09-27T19:54:00Z</dcterms:modified>
</cp:coreProperties>
</file>