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96F" w:rsidRDefault="0027396F" w:rsidP="00A50883">
      <w:pPr>
        <w:jc w:val="center"/>
        <w:rPr>
          <w:rFonts w:cs="Calibri"/>
          <w:sz w:val="28"/>
          <w:szCs w:val="24"/>
          <w:u w:val="single"/>
        </w:rPr>
      </w:pPr>
    </w:p>
    <w:p w:rsidR="00A50883" w:rsidRPr="00BD1608" w:rsidRDefault="00A50883" w:rsidP="00A50883">
      <w:pPr>
        <w:jc w:val="center"/>
        <w:rPr>
          <w:rFonts w:cs="Calibri"/>
          <w:sz w:val="23"/>
          <w:szCs w:val="23"/>
          <w:u w:val="single"/>
        </w:rPr>
      </w:pPr>
      <w:r w:rsidRPr="00BD1608">
        <w:rPr>
          <w:rFonts w:cs="Calibri"/>
          <w:sz w:val="23"/>
          <w:szCs w:val="23"/>
          <w:u w:val="single"/>
        </w:rPr>
        <w:t>Regularly Scheduled Series</w:t>
      </w:r>
    </w:p>
    <w:p w:rsidR="00A50883" w:rsidRPr="00BD1608" w:rsidRDefault="00A50883" w:rsidP="00A50883">
      <w:pPr>
        <w:jc w:val="center"/>
        <w:rPr>
          <w:rFonts w:cs="Calibri"/>
          <w:sz w:val="23"/>
          <w:szCs w:val="23"/>
        </w:rPr>
      </w:pPr>
      <w:r w:rsidRPr="00BD1608">
        <w:rPr>
          <w:rFonts w:cs="Calibri"/>
          <w:sz w:val="23"/>
          <w:szCs w:val="23"/>
        </w:rPr>
        <w:t>Psychiatry Grand Rounds</w:t>
      </w:r>
    </w:p>
    <w:p w:rsidR="00A50883" w:rsidRPr="00BD1608" w:rsidRDefault="00A50883" w:rsidP="00A50883">
      <w:pPr>
        <w:keepNext/>
        <w:keepLines/>
        <w:jc w:val="center"/>
        <w:outlineLvl w:val="1"/>
        <w:rPr>
          <w:rFonts w:eastAsiaTheme="majorEastAsia" w:cs="Calibri"/>
          <w:sz w:val="23"/>
          <w:szCs w:val="23"/>
        </w:rPr>
      </w:pPr>
      <w:r w:rsidRPr="00BD1608">
        <w:rPr>
          <w:rFonts w:eastAsiaTheme="majorEastAsia" w:cs="Calibri"/>
          <w:sz w:val="23"/>
          <w:szCs w:val="23"/>
        </w:rPr>
        <w:t>The University of Oklahoma</w:t>
      </w:r>
    </w:p>
    <w:p w:rsidR="00A50883" w:rsidRPr="00BD1608" w:rsidRDefault="00A50883" w:rsidP="00A50883">
      <w:pPr>
        <w:keepNext/>
        <w:keepLines/>
        <w:jc w:val="center"/>
        <w:outlineLvl w:val="1"/>
        <w:rPr>
          <w:rFonts w:eastAsiaTheme="majorEastAsia" w:cs="Calibri"/>
          <w:sz w:val="23"/>
          <w:szCs w:val="23"/>
        </w:rPr>
      </w:pPr>
      <w:r w:rsidRPr="00BD1608">
        <w:rPr>
          <w:rFonts w:eastAsiaTheme="majorEastAsia" w:cs="Calibri"/>
          <w:sz w:val="23"/>
          <w:szCs w:val="23"/>
        </w:rPr>
        <w:t>Tulsa School of Community Medicine</w:t>
      </w:r>
    </w:p>
    <w:p w:rsidR="00A50883" w:rsidRPr="00BD1608" w:rsidRDefault="00A50883" w:rsidP="00A50883">
      <w:pPr>
        <w:jc w:val="center"/>
        <w:rPr>
          <w:rFonts w:cs="Calibri"/>
          <w:color w:val="000000"/>
          <w:sz w:val="23"/>
          <w:szCs w:val="23"/>
        </w:rPr>
      </w:pPr>
      <w:r w:rsidRPr="00BD1608">
        <w:rPr>
          <w:rFonts w:cs="Calibri"/>
          <w:sz w:val="23"/>
          <w:szCs w:val="23"/>
        </w:rPr>
        <w:t>Course No. 22D13</w:t>
      </w:r>
    </w:p>
    <w:p w:rsidR="00A50883" w:rsidRPr="00BD1608" w:rsidRDefault="00A50883" w:rsidP="00A50883">
      <w:pPr>
        <w:jc w:val="center"/>
        <w:rPr>
          <w:rFonts w:cs="Calibri"/>
          <w:color w:val="000000"/>
          <w:sz w:val="23"/>
          <w:szCs w:val="23"/>
        </w:rPr>
      </w:pPr>
    </w:p>
    <w:p w:rsidR="00A50883" w:rsidRPr="00BD1608" w:rsidRDefault="006F28A2" w:rsidP="00A50883">
      <w:pPr>
        <w:jc w:val="center"/>
        <w:rPr>
          <w:rFonts w:cs="Calibri"/>
          <w:sz w:val="23"/>
          <w:szCs w:val="23"/>
        </w:rPr>
      </w:pPr>
      <w:r>
        <w:rPr>
          <w:rFonts w:cs="Calibri"/>
          <w:sz w:val="23"/>
          <w:szCs w:val="23"/>
        </w:rPr>
        <w:t xml:space="preserve">Wednesday, </w:t>
      </w:r>
      <w:r w:rsidR="00B2566D">
        <w:rPr>
          <w:rFonts w:cs="Calibri"/>
          <w:sz w:val="23"/>
          <w:szCs w:val="23"/>
        </w:rPr>
        <w:t>December 8</w:t>
      </w:r>
      <w:r w:rsidR="00A50883" w:rsidRPr="00BD1608">
        <w:rPr>
          <w:rFonts w:cs="Calibri"/>
          <w:sz w:val="23"/>
          <w:szCs w:val="23"/>
        </w:rPr>
        <w:t xml:space="preserve">, 2021 </w:t>
      </w:r>
    </w:p>
    <w:p w:rsidR="00A50883" w:rsidRDefault="00A50883" w:rsidP="00A50883">
      <w:pPr>
        <w:jc w:val="center"/>
        <w:rPr>
          <w:rFonts w:cs="Calibri"/>
          <w:sz w:val="23"/>
          <w:szCs w:val="23"/>
        </w:rPr>
      </w:pPr>
      <w:r w:rsidRPr="00BD1608">
        <w:rPr>
          <w:rFonts w:cs="Calibri"/>
          <w:sz w:val="23"/>
          <w:szCs w:val="23"/>
        </w:rPr>
        <w:t>1:00 p.m. - 1:55 p.m.</w:t>
      </w:r>
    </w:p>
    <w:p w:rsidR="00B2566D" w:rsidRDefault="00B2566D" w:rsidP="00A50883">
      <w:pPr>
        <w:jc w:val="center"/>
        <w:rPr>
          <w:rFonts w:cs="Calibri"/>
          <w:sz w:val="23"/>
          <w:szCs w:val="23"/>
        </w:rPr>
      </w:pPr>
    </w:p>
    <w:p w:rsidR="00B2566D" w:rsidRPr="00B2566D" w:rsidRDefault="00B2566D" w:rsidP="00B2566D">
      <w:pPr>
        <w:jc w:val="center"/>
        <w:rPr>
          <w:b/>
        </w:rPr>
      </w:pPr>
      <w:bookmarkStart w:id="0" w:name="_GoBack"/>
      <w:r w:rsidRPr="00B2566D">
        <w:rPr>
          <w:b/>
        </w:rPr>
        <w:t>An Academic Psychiatrist’s Role in Addressing the Opioid Crisis</w:t>
      </w:r>
    </w:p>
    <w:bookmarkEnd w:id="0"/>
    <w:p w:rsidR="00B2566D" w:rsidRDefault="00B2566D" w:rsidP="00B2566D"/>
    <w:p w:rsidR="00E64D7B" w:rsidRDefault="00E64D7B" w:rsidP="00E64D7B"/>
    <w:p w:rsidR="00B2566D" w:rsidRPr="00B2566D" w:rsidRDefault="00B2566D" w:rsidP="00B2566D">
      <w:pPr>
        <w:jc w:val="center"/>
        <w:textAlignment w:val="baseline"/>
        <w:outlineLvl w:val="0"/>
        <w:rPr>
          <w:rFonts w:asciiTheme="minorHAnsi" w:eastAsia="Times New Roman" w:hAnsiTheme="minorHAnsi" w:cstheme="minorHAnsi"/>
          <w:kern w:val="36"/>
        </w:rPr>
      </w:pPr>
      <w:r w:rsidRPr="00B2566D">
        <w:rPr>
          <w:rFonts w:asciiTheme="minorHAnsi" w:eastAsia="Times New Roman" w:hAnsiTheme="minorHAnsi" w:cstheme="minorHAnsi"/>
          <w:kern w:val="36"/>
        </w:rPr>
        <w:t>Kristin Escamilla, M.D.</w:t>
      </w:r>
    </w:p>
    <w:p w:rsidR="00B2566D" w:rsidRDefault="00B2566D" w:rsidP="00B2566D">
      <w:pPr>
        <w:jc w:val="center"/>
        <w:textAlignment w:val="baseline"/>
        <w:rPr>
          <w:rFonts w:asciiTheme="minorHAnsi" w:eastAsia="Times New Roman" w:hAnsiTheme="minorHAnsi" w:cstheme="minorHAnsi"/>
        </w:rPr>
      </w:pPr>
      <w:r w:rsidRPr="00B2566D">
        <w:rPr>
          <w:rFonts w:asciiTheme="minorHAnsi" w:eastAsia="Times New Roman" w:hAnsiTheme="minorHAnsi" w:cstheme="minorHAnsi"/>
        </w:rPr>
        <w:t>Assistant Professor, Undergraduate Medical Education Director, </w:t>
      </w:r>
      <w:r>
        <w:rPr>
          <w:rFonts w:asciiTheme="minorHAnsi" w:eastAsia="Times New Roman" w:hAnsiTheme="minorHAnsi" w:cstheme="minorHAnsi"/>
        </w:rPr>
        <w:t xml:space="preserve">and </w:t>
      </w:r>
      <w:r w:rsidRPr="00B2566D">
        <w:rPr>
          <w:rFonts w:asciiTheme="minorHAnsi" w:eastAsia="Times New Roman" w:hAnsiTheme="minorHAnsi" w:cstheme="minorHAnsi"/>
        </w:rPr>
        <w:t>P</w:t>
      </w:r>
      <w:r>
        <w:rPr>
          <w:rFonts w:asciiTheme="minorHAnsi" w:eastAsia="Times New Roman" w:hAnsiTheme="minorHAnsi" w:cstheme="minorHAnsi"/>
        </w:rPr>
        <w:t>sychiatry Clerkship Director</w:t>
      </w:r>
    </w:p>
    <w:p w:rsidR="00C92218" w:rsidRDefault="00C92218" w:rsidP="00B2566D">
      <w:pPr>
        <w:jc w:val="center"/>
        <w:textAlignment w:val="baseline"/>
        <w:rPr>
          <w:rFonts w:asciiTheme="minorHAnsi" w:eastAsia="Times New Roman" w:hAnsiTheme="minorHAnsi" w:cstheme="minorHAnsi"/>
        </w:rPr>
      </w:pPr>
      <w:r>
        <w:rPr>
          <w:rFonts w:asciiTheme="minorHAnsi" w:eastAsia="Times New Roman" w:hAnsiTheme="minorHAnsi" w:cstheme="minorHAnsi"/>
        </w:rPr>
        <w:t xml:space="preserve">Dell Medical School at the University of Texas at Austin </w:t>
      </w:r>
    </w:p>
    <w:p w:rsidR="00B2566D" w:rsidRPr="00B2566D" w:rsidRDefault="004216CE" w:rsidP="00B2566D">
      <w:pPr>
        <w:jc w:val="center"/>
        <w:textAlignment w:val="baseline"/>
        <w:rPr>
          <w:rFonts w:asciiTheme="minorHAnsi" w:eastAsia="Times New Roman" w:hAnsiTheme="minorHAnsi" w:cstheme="minorHAnsi"/>
        </w:rPr>
      </w:pPr>
      <w:hyperlink r:id="rId8" w:history="1">
        <w:r w:rsidR="00B2566D" w:rsidRPr="00B2566D">
          <w:rPr>
            <w:rFonts w:asciiTheme="minorHAnsi" w:eastAsia="Times New Roman" w:hAnsiTheme="minorHAnsi" w:cstheme="minorHAnsi"/>
            <w:bCs/>
            <w:bdr w:val="none" w:sz="0" w:space="0" w:color="auto" w:frame="1"/>
          </w:rPr>
          <w:t>Department of Psychiatry &amp; Behavioral Sciences</w:t>
        </w:r>
      </w:hyperlink>
    </w:p>
    <w:p w:rsidR="00B2566D" w:rsidRDefault="00B2566D" w:rsidP="00E64D7B"/>
    <w:p w:rsidR="006F28A2" w:rsidRDefault="00294E29" w:rsidP="00BE62C8">
      <w:r w:rsidRPr="004555D9">
        <w:rPr>
          <w:rFonts w:asciiTheme="minorHAnsi" w:hAnsiTheme="minorHAnsi"/>
          <w:b/>
          <w:color w:val="000000"/>
        </w:rPr>
        <w:t>Gaps:</w:t>
      </w:r>
      <w:r w:rsidR="00E87C1D" w:rsidRPr="004555D9">
        <w:rPr>
          <w:rFonts w:asciiTheme="minorHAnsi" w:hAnsiTheme="minorHAnsi"/>
          <w:b/>
          <w:color w:val="000000"/>
        </w:rPr>
        <w:t xml:space="preserve"> </w:t>
      </w:r>
      <w:r w:rsidR="00997A70" w:rsidRPr="004555D9">
        <w:rPr>
          <w:rFonts w:asciiTheme="minorHAnsi" w:eastAsia="Calibri" w:hAnsiTheme="minorHAnsi" w:cstheme="minorHAnsi"/>
          <w:color w:val="000000"/>
        </w:rPr>
        <w:t xml:space="preserve">Practitioners may be unaware </w:t>
      </w:r>
      <w:r w:rsidR="00A03652">
        <w:rPr>
          <w:rFonts w:asciiTheme="minorHAnsi" w:eastAsia="Calibri" w:hAnsiTheme="minorHAnsi" w:cstheme="minorHAnsi"/>
          <w:color w:val="000000"/>
        </w:rPr>
        <w:t xml:space="preserve">of </w:t>
      </w:r>
      <w:r w:rsidR="00B2566D">
        <w:rPr>
          <w:rFonts w:asciiTheme="minorHAnsi" w:eastAsia="Calibri" w:hAnsiTheme="minorHAnsi" w:cstheme="minorHAnsi"/>
          <w:color w:val="000000"/>
        </w:rPr>
        <w:t xml:space="preserve">the </w:t>
      </w:r>
      <w:r w:rsidR="00B2566D">
        <w:t xml:space="preserve">current local and national trends in the prevalence of opioid use disorders and how to address it in their clinical practice.  </w:t>
      </w:r>
    </w:p>
    <w:p w:rsidR="00B2566D" w:rsidRPr="004555D9" w:rsidRDefault="00B2566D" w:rsidP="00BE62C8"/>
    <w:p w:rsidR="00294E29" w:rsidRDefault="00294E29" w:rsidP="00294E29">
      <w:pPr>
        <w:rPr>
          <w:rFonts w:asciiTheme="minorHAnsi" w:hAnsiTheme="minorHAnsi"/>
          <w:color w:val="000000"/>
        </w:rPr>
      </w:pPr>
      <w:r w:rsidRPr="003A5025">
        <w:rPr>
          <w:rFonts w:asciiTheme="minorHAnsi" w:hAnsiTheme="minorHAnsi"/>
          <w:b/>
          <w:color w:val="000000"/>
        </w:rPr>
        <w:t>Learning Objectives</w:t>
      </w:r>
      <w:r w:rsidR="00E87C1D" w:rsidRPr="003A5025">
        <w:rPr>
          <w:rFonts w:asciiTheme="minorHAnsi" w:hAnsiTheme="minorHAnsi"/>
          <w:b/>
          <w:color w:val="000000"/>
        </w:rPr>
        <w:t xml:space="preserve">: </w:t>
      </w:r>
      <w:r w:rsidRPr="003A5025">
        <w:rPr>
          <w:rFonts w:asciiTheme="minorHAnsi" w:hAnsiTheme="minorHAnsi"/>
          <w:color w:val="000000"/>
        </w:rPr>
        <w:t>Upon completion of this session, participants will improve their competence and performance by being able to:</w:t>
      </w:r>
    </w:p>
    <w:p w:rsidR="00B2566D" w:rsidRDefault="00B2566D" w:rsidP="00294E29">
      <w:pPr>
        <w:rPr>
          <w:rFonts w:asciiTheme="minorHAnsi" w:hAnsiTheme="minorHAnsi"/>
          <w:color w:val="000000"/>
        </w:rPr>
      </w:pPr>
    </w:p>
    <w:p w:rsidR="00B2566D" w:rsidRDefault="00B2566D" w:rsidP="00B2566D">
      <w:pPr>
        <w:pStyle w:val="ListParagraph"/>
      </w:pPr>
      <w:r>
        <w:t xml:space="preserve">Describe current local and national trends in the prevalence of opioid use disorders. </w:t>
      </w:r>
    </w:p>
    <w:p w:rsidR="00B2566D" w:rsidRDefault="00B2566D" w:rsidP="00B2566D">
      <w:pPr>
        <w:pStyle w:val="ListParagraph"/>
      </w:pPr>
    </w:p>
    <w:p w:rsidR="00B2566D" w:rsidRDefault="00B2566D" w:rsidP="00B2566D">
      <w:pPr>
        <w:pStyle w:val="ListParagraph"/>
      </w:pPr>
      <w:r>
        <w:t>Examine ways of addressing this national crisis within the academic psychiatrist’s classroom and clinical setting.</w:t>
      </w:r>
    </w:p>
    <w:p w:rsidR="00B2566D" w:rsidRDefault="00B2566D" w:rsidP="00B2566D">
      <w:pPr>
        <w:pStyle w:val="ListParagraph"/>
      </w:pPr>
    </w:p>
    <w:p w:rsidR="00B2566D" w:rsidRDefault="00B2566D" w:rsidP="00B2566D">
      <w:pPr>
        <w:pStyle w:val="ListParagraph"/>
      </w:pPr>
      <w:r>
        <w:t>Develop and integrate individualized action plans within one’s own setting.</w:t>
      </w:r>
    </w:p>
    <w:p w:rsidR="006F28A2" w:rsidRDefault="006F28A2" w:rsidP="00294E29">
      <w:pPr>
        <w:rPr>
          <w:rFonts w:asciiTheme="minorHAnsi" w:hAnsiTheme="minorHAnsi"/>
          <w:color w:val="000000"/>
        </w:rPr>
      </w:pPr>
    </w:p>
    <w:p w:rsidR="00884FE8" w:rsidRPr="00D20839" w:rsidRDefault="00884FE8" w:rsidP="00977EB6">
      <w:pPr>
        <w:rPr>
          <w:rFonts w:asciiTheme="minorHAnsi" w:hAnsiTheme="minorHAnsi"/>
          <w:color w:val="000000"/>
          <w:sz w:val="21"/>
          <w:szCs w:val="21"/>
        </w:rPr>
      </w:pPr>
      <w:r w:rsidRPr="00D20839">
        <w:rPr>
          <w:rFonts w:asciiTheme="minorHAnsi" w:hAnsiTheme="minorHAnsi"/>
          <w:b/>
          <w:bCs/>
          <w:color w:val="000000"/>
          <w:sz w:val="21"/>
          <w:szCs w:val="21"/>
        </w:rPr>
        <w:t>Accreditation Statement:</w:t>
      </w:r>
      <w:r w:rsidRPr="00D20839">
        <w:rPr>
          <w:rFonts w:asciiTheme="minorHAnsi" w:hAnsiTheme="minorHAnsi"/>
          <w:color w:val="000000"/>
          <w:sz w:val="21"/>
          <w:szCs w:val="21"/>
        </w:rPr>
        <w:t xml:space="preserve"> The University of Oklahoma College of Medicine is accredited by the Accreditation Council for Continuing Medical Education (ACCME) to provide continuing medical education for physicians. </w:t>
      </w:r>
    </w:p>
    <w:p w:rsidR="00896743" w:rsidRPr="00D20839" w:rsidRDefault="00896743" w:rsidP="00977EB6">
      <w:pPr>
        <w:rPr>
          <w:rFonts w:asciiTheme="minorHAnsi" w:hAnsiTheme="minorHAnsi"/>
          <w:color w:val="000000"/>
          <w:sz w:val="21"/>
          <w:szCs w:val="21"/>
        </w:rPr>
      </w:pPr>
    </w:p>
    <w:p w:rsidR="00884FE8" w:rsidRPr="00D20839" w:rsidRDefault="00884FE8" w:rsidP="00977EB6">
      <w:pPr>
        <w:rPr>
          <w:rFonts w:asciiTheme="minorHAnsi" w:hAnsiTheme="minorHAnsi"/>
          <w:color w:val="000000"/>
          <w:sz w:val="21"/>
          <w:szCs w:val="21"/>
        </w:rPr>
      </w:pPr>
      <w:r w:rsidRPr="00D20839">
        <w:rPr>
          <w:rFonts w:asciiTheme="minorHAnsi" w:hAnsiTheme="minorHAnsi"/>
          <w:color w:val="000000"/>
          <w:sz w:val="21"/>
          <w:szCs w:val="21"/>
        </w:rPr>
        <w:t>The University of Oklahoma College of Medicine designates this live activity for a maximum of 1.</w:t>
      </w:r>
      <w:r w:rsidR="00341461" w:rsidRPr="00D20839">
        <w:rPr>
          <w:rFonts w:asciiTheme="minorHAnsi" w:hAnsiTheme="minorHAnsi"/>
          <w:color w:val="000000"/>
          <w:sz w:val="21"/>
          <w:szCs w:val="21"/>
        </w:rPr>
        <w:t>0</w:t>
      </w:r>
      <w:r w:rsidRPr="00D20839">
        <w:rPr>
          <w:rFonts w:asciiTheme="minorHAnsi" w:hAnsiTheme="minorHAnsi"/>
          <w:color w:val="000000"/>
          <w:sz w:val="21"/>
          <w:szCs w:val="21"/>
        </w:rPr>
        <w:t xml:space="preserve">0 </w:t>
      </w:r>
      <w:r w:rsidRPr="00D20839">
        <w:rPr>
          <w:rFonts w:asciiTheme="minorHAnsi" w:hAnsiTheme="minorHAnsi"/>
          <w:i/>
          <w:iCs/>
          <w:color w:val="000000"/>
          <w:sz w:val="21"/>
          <w:szCs w:val="21"/>
        </w:rPr>
        <w:t>AMA PRA Category 1 Credit™.</w:t>
      </w:r>
      <w:r w:rsidRPr="00D20839">
        <w:rPr>
          <w:rFonts w:asciiTheme="minorHAnsi" w:hAnsiTheme="minorHAnsi"/>
          <w:color w:val="000000"/>
          <w:sz w:val="21"/>
          <w:szCs w:val="21"/>
        </w:rPr>
        <w:t>  Physicians should claim only the credit commensurate with the extent of their participation in the activity.</w:t>
      </w:r>
    </w:p>
    <w:p w:rsidR="00C02746" w:rsidRPr="00D20839" w:rsidRDefault="00C02746" w:rsidP="00977EB6">
      <w:pPr>
        <w:rPr>
          <w:rFonts w:asciiTheme="minorHAnsi" w:hAnsiTheme="minorHAnsi"/>
          <w:color w:val="000000"/>
          <w:sz w:val="21"/>
          <w:szCs w:val="21"/>
        </w:rPr>
      </w:pPr>
    </w:p>
    <w:p w:rsidR="00884FE8" w:rsidRPr="00D20839" w:rsidRDefault="00165F69" w:rsidP="00977EB6">
      <w:pPr>
        <w:rPr>
          <w:rFonts w:asciiTheme="minorHAnsi" w:hAnsiTheme="minorHAnsi"/>
          <w:color w:val="000000"/>
          <w:sz w:val="21"/>
          <w:szCs w:val="21"/>
        </w:rPr>
      </w:pPr>
      <w:r w:rsidRPr="00D20839">
        <w:rPr>
          <w:rFonts w:asciiTheme="minorHAnsi" w:hAnsiTheme="minorHAnsi"/>
          <w:b/>
          <w:bCs/>
          <w:color w:val="000000"/>
          <w:sz w:val="21"/>
          <w:szCs w:val="21"/>
        </w:rPr>
        <w:t>Mitigation</w:t>
      </w:r>
      <w:r w:rsidR="00884FE8" w:rsidRPr="00D20839">
        <w:rPr>
          <w:rFonts w:asciiTheme="minorHAnsi" w:hAnsiTheme="minorHAnsi"/>
          <w:b/>
          <w:bCs/>
          <w:color w:val="000000"/>
          <w:sz w:val="21"/>
          <w:szCs w:val="21"/>
        </w:rPr>
        <w:t xml:space="preserve"> Statement: </w:t>
      </w:r>
      <w:r w:rsidR="00884FE8" w:rsidRPr="00D20839">
        <w:rPr>
          <w:rFonts w:asciiTheme="minorHAnsi" w:hAnsiTheme="minorHAnsi"/>
          <w:color w:val="000000"/>
          <w:sz w:val="21"/>
          <w:szCs w:val="21"/>
        </w:rPr>
        <w:t xml:space="preserve">The University of Oklahoma College of Medicine, Office of Continuing Professional Development has reviewed this activity’s speaker and planner disclosures and </w:t>
      </w:r>
      <w:r w:rsidR="003C691A" w:rsidRPr="00D20839">
        <w:rPr>
          <w:rFonts w:asciiTheme="minorHAnsi" w:hAnsiTheme="minorHAnsi"/>
          <w:color w:val="000000"/>
          <w:sz w:val="21"/>
          <w:szCs w:val="21"/>
        </w:rPr>
        <w:t>has mitigated</w:t>
      </w:r>
      <w:r w:rsidR="00884FE8" w:rsidRPr="00D20839">
        <w:rPr>
          <w:rFonts w:asciiTheme="minorHAnsi" w:hAnsiTheme="minorHAnsi"/>
          <w:color w:val="000000"/>
          <w:sz w:val="21"/>
          <w:szCs w:val="21"/>
        </w:rPr>
        <w:t xml:space="preserve"> all </w:t>
      </w:r>
      <w:r w:rsidR="003C691A" w:rsidRPr="00D20839">
        <w:rPr>
          <w:rFonts w:asciiTheme="minorHAnsi" w:hAnsiTheme="minorHAnsi"/>
          <w:color w:val="000000"/>
          <w:sz w:val="21"/>
          <w:szCs w:val="21"/>
        </w:rPr>
        <w:t>relevant financial relationships with ineligible companies</w:t>
      </w:r>
      <w:r w:rsidR="00884FE8" w:rsidRPr="00D20839">
        <w:rPr>
          <w:rFonts w:asciiTheme="minorHAnsi" w:hAnsiTheme="minorHAnsi"/>
          <w:color w:val="000000"/>
          <w:sz w:val="21"/>
          <w:szCs w:val="21"/>
        </w:rPr>
        <w:t>, if applicable.</w:t>
      </w:r>
    </w:p>
    <w:p w:rsidR="00896743" w:rsidRPr="00D20839" w:rsidRDefault="00896743" w:rsidP="00977EB6">
      <w:pPr>
        <w:rPr>
          <w:rFonts w:asciiTheme="minorHAnsi" w:hAnsiTheme="minorHAnsi"/>
          <w:b/>
          <w:bCs/>
          <w:color w:val="000000"/>
          <w:sz w:val="21"/>
          <w:szCs w:val="21"/>
        </w:rPr>
      </w:pPr>
    </w:p>
    <w:p w:rsidR="00355683" w:rsidRPr="00D20839" w:rsidRDefault="00884FE8" w:rsidP="00355683">
      <w:pPr>
        <w:rPr>
          <w:rFonts w:asciiTheme="minorHAnsi" w:hAnsiTheme="minorHAnsi"/>
          <w:sz w:val="21"/>
          <w:szCs w:val="21"/>
          <w:highlight w:val="yellow"/>
        </w:rPr>
      </w:pPr>
      <w:r w:rsidRPr="00D20839">
        <w:rPr>
          <w:rFonts w:asciiTheme="minorHAnsi" w:hAnsiTheme="minorHAnsi"/>
          <w:b/>
          <w:bCs/>
          <w:color w:val="000000"/>
          <w:sz w:val="21"/>
          <w:szCs w:val="21"/>
        </w:rPr>
        <w:t xml:space="preserve">Nondiscrimination Statement: </w:t>
      </w:r>
      <w:r w:rsidR="00BB46E7" w:rsidRPr="00D20839">
        <w:rPr>
          <w:rFonts w:asciiTheme="minorHAnsi" w:hAnsiTheme="minorHAnsi" w:cs="Tahoma"/>
          <w:sz w:val="21"/>
          <w:szCs w:val="21"/>
          <w:shd w:val="clear" w:color="auto" w:fill="FFFFFF"/>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scrawford@ou.edu, or visit www.ou.edu/eoo.html.</w:t>
      </w:r>
      <w:r w:rsidR="00355683" w:rsidRPr="00D20839">
        <w:rPr>
          <w:rFonts w:asciiTheme="minorHAnsi" w:hAnsiTheme="minorHAnsi"/>
          <w:sz w:val="21"/>
          <w:szCs w:val="21"/>
          <w:highlight w:val="yellow"/>
        </w:rPr>
        <w:t xml:space="preserve"> </w:t>
      </w:r>
    </w:p>
    <w:p w:rsidR="00355683" w:rsidRPr="00D20839" w:rsidRDefault="00355683" w:rsidP="00977EB6">
      <w:pPr>
        <w:rPr>
          <w:rFonts w:asciiTheme="minorHAnsi" w:hAnsiTheme="minorHAnsi"/>
          <w:sz w:val="21"/>
          <w:szCs w:val="21"/>
          <w:highlight w:val="yellow"/>
        </w:rPr>
      </w:pPr>
    </w:p>
    <w:p w:rsidR="00884FE8" w:rsidRPr="00D20839" w:rsidRDefault="00884FE8" w:rsidP="00977EB6">
      <w:pPr>
        <w:rPr>
          <w:rFonts w:asciiTheme="minorHAnsi" w:hAnsiTheme="minorHAnsi"/>
          <w:color w:val="000000"/>
          <w:sz w:val="21"/>
          <w:szCs w:val="21"/>
        </w:rPr>
      </w:pPr>
      <w:r w:rsidRPr="00D20839">
        <w:rPr>
          <w:rFonts w:asciiTheme="minorHAnsi" w:hAnsiTheme="minorHAnsi"/>
          <w:b/>
          <w:bCs/>
          <w:color w:val="000000"/>
          <w:sz w:val="21"/>
          <w:szCs w:val="21"/>
        </w:rPr>
        <w:t>Accommodation Statement:</w:t>
      </w:r>
      <w:r w:rsidRPr="00D20839">
        <w:rPr>
          <w:rFonts w:asciiTheme="minorHAnsi" w:hAnsiTheme="minorHAnsi"/>
          <w:color w:val="000000"/>
          <w:sz w:val="21"/>
          <w:szCs w:val="21"/>
        </w:rPr>
        <w:t> </w:t>
      </w:r>
      <w:r w:rsidR="00C007BD" w:rsidRPr="00D20839">
        <w:rPr>
          <w:rFonts w:asciiTheme="minorHAnsi" w:hAnsiTheme="minorHAnsi"/>
          <w:color w:val="000000"/>
          <w:sz w:val="21"/>
          <w:szCs w:val="21"/>
        </w:rPr>
        <w:t>For accommodations, please</w:t>
      </w:r>
      <w:r w:rsidR="00896743" w:rsidRPr="00D20839">
        <w:rPr>
          <w:rFonts w:asciiTheme="minorHAnsi" w:hAnsiTheme="minorHAnsi"/>
          <w:color w:val="000000"/>
          <w:sz w:val="21"/>
          <w:szCs w:val="21"/>
        </w:rPr>
        <w:t xml:space="preserve"> contact </w:t>
      </w:r>
      <w:r w:rsidR="000019AA" w:rsidRPr="00D20839">
        <w:rPr>
          <w:rFonts w:asciiTheme="minorHAnsi" w:hAnsiTheme="minorHAnsi"/>
          <w:color w:val="000000"/>
          <w:sz w:val="21"/>
          <w:szCs w:val="21"/>
        </w:rPr>
        <w:t>Rhonda Wallace at Rhonda-wallace@ouhsc.edu</w:t>
      </w:r>
    </w:p>
    <w:p w:rsidR="00896743" w:rsidRPr="00D20839" w:rsidRDefault="00896743" w:rsidP="00977EB6">
      <w:pPr>
        <w:rPr>
          <w:rFonts w:asciiTheme="minorHAnsi" w:hAnsiTheme="minorHAnsi"/>
          <w:b/>
          <w:bCs/>
          <w:color w:val="000000"/>
          <w:sz w:val="21"/>
          <w:szCs w:val="21"/>
        </w:rPr>
      </w:pPr>
    </w:p>
    <w:p w:rsidR="00884FE8" w:rsidRPr="00D20839" w:rsidRDefault="00884FE8" w:rsidP="00977EB6">
      <w:pPr>
        <w:rPr>
          <w:rFonts w:asciiTheme="minorHAnsi" w:hAnsiTheme="minorHAnsi"/>
          <w:color w:val="000000"/>
          <w:sz w:val="21"/>
          <w:szCs w:val="21"/>
        </w:rPr>
      </w:pPr>
      <w:r w:rsidRPr="00D20839">
        <w:rPr>
          <w:rFonts w:asciiTheme="minorHAnsi" w:hAnsiTheme="minorHAnsi"/>
          <w:b/>
          <w:bCs/>
          <w:color w:val="000000"/>
          <w:sz w:val="21"/>
          <w:szCs w:val="21"/>
        </w:rPr>
        <w:t>Disclaimer Statement:</w:t>
      </w:r>
      <w:r w:rsidRPr="00D20839">
        <w:rPr>
          <w:rFonts w:asciiTheme="minorHAnsi" w:hAnsiTheme="minorHAnsi"/>
          <w:color w:val="000000"/>
          <w:sz w:val="21"/>
          <w:szCs w:val="21"/>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Pr="00D20839" w:rsidRDefault="00483DDC" w:rsidP="00977EB6">
      <w:pPr>
        <w:rPr>
          <w:rFonts w:asciiTheme="minorHAnsi" w:hAnsiTheme="minorHAnsi"/>
          <w:color w:val="000000"/>
          <w:sz w:val="21"/>
          <w:szCs w:val="21"/>
        </w:rPr>
      </w:pPr>
    </w:p>
    <w:p w:rsidR="00884FE8" w:rsidRPr="00D20839" w:rsidRDefault="00884FE8" w:rsidP="00977EB6">
      <w:pPr>
        <w:rPr>
          <w:rFonts w:asciiTheme="minorHAnsi" w:hAnsiTheme="minorHAnsi"/>
          <w:color w:val="000000"/>
          <w:sz w:val="21"/>
          <w:szCs w:val="21"/>
        </w:rPr>
      </w:pPr>
      <w:r w:rsidRPr="00D20839">
        <w:rPr>
          <w:rFonts w:asciiTheme="minorHAnsi" w:hAnsiTheme="minorHAnsi"/>
          <w:color w:val="000000"/>
          <w:sz w:val="21"/>
          <w:szCs w:val="21"/>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D20839" w:rsidRDefault="00896743" w:rsidP="00977EB6">
      <w:pPr>
        <w:rPr>
          <w:rFonts w:asciiTheme="minorHAnsi" w:hAnsiTheme="minorHAnsi"/>
          <w:b/>
          <w:bCs/>
          <w:color w:val="000000"/>
          <w:sz w:val="21"/>
          <w:szCs w:val="21"/>
        </w:rPr>
      </w:pPr>
    </w:p>
    <w:p w:rsidR="00884FE8" w:rsidRPr="00D20839" w:rsidRDefault="00884FE8" w:rsidP="00977EB6">
      <w:pPr>
        <w:rPr>
          <w:rFonts w:asciiTheme="minorHAnsi" w:hAnsiTheme="minorHAnsi"/>
          <w:color w:val="000000"/>
          <w:sz w:val="21"/>
          <w:szCs w:val="21"/>
        </w:rPr>
      </w:pPr>
      <w:r w:rsidRPr="00D20839">
        <w:rPr>
          <w:rFonts w:asciiTheme="minorHAnsi" w:hAnsiTheme="minorHAnsi"/>
          <w:b/>
          <w:bCs/>
          <w:color w:val="000000"/>
          <w:sz w:val="21"/>
          <w:szCs w:val="21"/>
        </w:rPr>
        <w:t xml:space="preserve">Policy on </w:t>
      </w:r>
      <w:r w:rsidR="00165F69" w:rsidRPr="00D20839">
        <w:rPr>
          <w:rFonts w:asciiTheme="minorHAnsi" w:hAnsiTheme="minorHAnsi"/>
          <w:b/>
          <w:bCs/>
          <w:color w:val="000000"/>
          <w:sz w:val="21"/>
          <w:szCs w:val="21"/>
        </w:rPr>
        <w:t>Planner</w:t>
      </w:r>
      <w:r w:rsidRPr="00D20839">
        <w:rPr>
          <w:rFonts w:asciiTheme="minorHAnsi" w:hAnsiTheme="minorHAnsi"/>
          <w:b/>
          <w:bCs/>
          <w:color w:val="000000"/>
          <w:sz w:val="21"/>
          <w:szCs w:val="21"/>
        </w:rPr>
        <w:t xml:space="preserve"> and Presenter Disclosure:</w:t>
      </w:r>
      <w:r w:rsidRPr="00D20839">
        <w:rPr>
          <w:rFonts w:asciiTheme="minorHAnsi" w:hAnsiTheme="minorHAnsi"/>
          <w:color w:val="000000"/>
          <w:sz w:val="21"/>
          <w:szCs w:val="21"/>
        </w:rPr>
        <w:t xml:space="preserve"> It is the policy of the University of Oklahoma College of Medicine that the faculty and presenters </w:t>
      </w:r>
      <w:r w:rsidR="00A53DE7" w:rsidRPr="00D20839">
        <w:rPr>
          <w:rFonts w:asciiTheme="minorHAnsi" w:hAnsiTheme="minorHAnsi"/>
          <w:color w:val="000000"/>
          <w:sz w:val="21"/>
          <w:szCs w:val="21"/>
        </w:rPr>
        <w:t xml:space="preserve">identify </w:t>
      </w:r>
      <w:r w:rsidR="00165F69" w:rsidRPr="00D20839">
        <w:rPr>
          <w:rFonts w:asciiTheme="minorHAnsi" w:hAnsiTheme="minorHAnsi"/>
          <w:color w:val="000000"/>
          <w:sz w:val="21"/>
          <w:szCs w:val="21"/>
        </w:rPr>
        <w:t>all</w:t>
      </w:r>
      <w:r w:rsidR="003C691A" w:rsidRPr="00D20839">
        <w:rPr>
          <w:rFonts w:asciiTheme="minorHAnsi" w:hAnsiTheme="minorHAnsi"/>
          <w:color w:val="000000"/>
          <w:sz w:val="21"/>
          <w:szCs w:val="21"/>
        </w:rPr>
        <w:t xml:space="preserve"> financial relationships with</w:t>
      </w:r>
      <w:r w:rsidR="00A53DE7" w:rsidRPr="00D20839">
        <w:rPr>
          <w:rFonts w:asciiTheme="minorHAnsi" w:hAnsiTheme="minorHAnsi"/>
          <w:color w:val="000000"/>
          <w:sz w:val="21"/>
          <w:szCs w:val="21"/>
        </w:rPr>
        <w:t xml:space="preserve"> ineligible companies</w:t>
      </w:r>
      <w:r w:rsidRPr="00D20839">
        <w:rPr>
          <w:rFonts w:asciiTheme="minorHAnsi" w:hAnsiTheme="minorHAnsi"/>
          <w:color w:val="000000"/>
          <w:sz w:val="21"/>
          <w:szCs w:val="21"/>
        </w:rPr>
        <w:t xml:space="preserve"> relating to the topics of this educational activity, and also discloses discussions of </w:t>
      </w:r>
      <w:r w:rsidR="00165F69" w:rsidRPr="00D20839">
        <w:rPr>
          <w:rFonts w:asciiTheme="minorHAnsi" w:hAnsiTheme="minorHAnsi"/>
          <w:color w:val="000000"/>
          <w:sz w:val="21"/>
          <w:szCs w:val="21"/>
        </w:rPr>
        <w:t xml:space="preserve">off-label or investigational drugs/devices and/or therapies </w:t>
      </w:r>
      <w:r w:rsidRPr="00D20839">
        <w:rPr>
          <w:rFonts w:asciiTheme="minorHAnsi" w:hAnsiTheme="minorHAnsi"/>
          <w:color w:val="000000"/>
          <w:sz w:val="21"/>
          <w:szCs w:val="21"/>
        </w:rPr>
        <w:t xml:space="preserve">during their presentation(s). </w:t>
      </w:r>
    </w:p>
    <w:p w:rsidR="00896743" w:rsidRPr="00D20839" w:rsidRDefault="00896743" w:rsidP="00977EB6">
      <w:pPr>
        <w:rPr>
          <w:rFonts w:asciiTheme="minorHAnsi" w:hAnsiTheme="minorHAnsi"/>
          <w:b/>
          <w:bCs/>
          <w:color w:val="000000"/>
          <w:sz w:val="21"/>
          <w:szCs w:val="21"/>
        </w:rPr>
      </w:pPr>
    </w:p>
    <w:p w:rsidR="008051FA" w:rsidRPr="00D20839" w:rsidRDefault="0021756A" w:rsidP="008051FA">
      <w:pPr>
        <w:shd w:val="clear" w:color="auto" w:fill="FFFFFF"/>
        <w:rPr>
          <w:color w:val="000000"/>
          <w:sz w:val="21"/>
          <w:szCs w:val="21"/>
        </w:rPr>
      </w:pPr>
      <w:r w:rsidRPr="00D20839">
        <w:rPr>
          <w:rFonts w:asciiTheme="minorHAnsi" w:hAnsiTheme="minorHAnsi"/>
          <w:b/>
          <w:bCs/>
          <w:color w:val="000000"/>
          <w:sz w:val="21"/>
          <w:szCs w:val="21"/>
        </w:rPr>
        <w:t>Acknowledgement of C</w:t>
      </w:r>
      <w:r w:rsidR="00884FE8" w:rsidRPr="00D20839">
        <w:rPr>
          <w:rFonts w:asciiTheme="minorHAnsi" w:hAnsiTheme="minorHAnsi"/>
          <w:b/>
          <w:bCs/>
          <w:color w:val="000000"/>
          <w:sz w:val="21"/>
          <w:szCs w:val="21"/>
        </w:rPr>
        <w:t>ommercial and In-Kind Support:</w:t>
      </w:r>
      <w:r w:rsidR="00884FE8" w:rsidRPr="00D20839">
        <w:rPr>
          <w:rFonts w:asciiTheme="minorHAnsi" w:hAnsiTheme="minorHAnsi"/>
          <w:color w:val="000000"/>
          <w:sz w:val="21"/>
          <w:szCs w:val="21"/>
        </w:rPr>
        <w:t xml:space="preserve"> </w:t>
      </w:r>
      <w:r w:rsidR="008051FA" w:rsidRPr="00D20839">
        <w:rPr>
          <w:b/>
          <w:bCs/>
          <w:color w:val="000000"/>
          <w:sz w:val="21"/>
          <w:szCs w:val="21"/>
        </w:rPr>
        <w:t>Commercial support</w:t>
      </w:r>
      <w:r w:rsidR="008051FA" w:rsidRPr="00D20839">
        <w:rPr>
          <w:color w:val="000000"/>
          <w:sz w:val="21"/>
          <w:szCs w:val="21"/>
        </w:rPr>
        <w:t xml:space="preserve"> is financial, or in-kind, contributions given by an ineligible company, which is used to pay all or part of the costs of a CME activity.  An ineligible company is any</w:t>
      </w:r>
      <w:r w:rsidR="00710A31" w:rsidRPr="00D20839">
        <w:rPr>
          <w:color w:val="000000"/>
          <w:sz w:val="21"/>
          <w:szCs w:val="21"/>
        </w:rPr>
        <w:t xml:space="preserve"> company</w:t>
      </w:r>
      <w:r w:rsidR="008051FA" w:rsidRPr="00D20839">
        <w:rPr>
          <w:color w:val="000000"/>
          <w:sz w:val="21"/>
          <w:szCs w:val="21"/>
        </w:rPr>
        <w:t xml:space="preserve"> </w:t>
      </w:r>
      <w:r w:rsidR="00710A31" w:rsidRPr="00D20839">
        <w:rPr>
          <w:sz w:val="21"/>
          <w:szCs w:val="21"/>
        </w:rPr>
        <w:t>whose primary business is producing, marketing, selling, re-selling, or distributing healthcare products used by or on patients.</w:t>
      </w:r>
    </w:p>
    <w:p w:rsidR="000019AA" w:rsidRPr="00D20839" w:rsidRDefault="000019AA" w:rsidP="00A50883">
      <w:pPr>
        <w:rPr>
          <w:rFonts w:asciiTheme="minorHAnsi" w:hAnsiTheme="minorHAnsi"/>
          <w:color w:val="000000"/>
          <w:sz w:val="21"/>
          <w:szCs w:val="21"/>
        </w:rPr>
      </w:pPr>
    </w:p>
    <w:p w:rsidR="00A50883" w:rsidRPr="00D20839" w:rsidRDefault="00977EB6" w:rsidP="00A50883">
      <w:pPr>
        <w:rPr>
          <w:rFonts w:asciiTheme="minorHAnsi" w:hAnsiTheme="minorHAnsi"/>
          <w:color w:val="000000"/>
          <w:sz w:val="21"/>
          <w:szCs w:val="21"/>
        </w:rPr>
      </w:pPr>
      <w:r w:rsidRPr="00D20839">
        <w:rPr>
          <w:rFonts w:asciiTheme="minorHAnsi" w:hAnsiTheme="minorHAnsi"/>
          <w:color w:val="000000"/>
          <w:sz w:val="21"/>
          <w:szCs w:val="21"/>
        </w:rPr>
        <w:t>This activity received no commercial or in-kind support.</w:t>
      </w:r>
    </w:p>
    <w:p w:rsidR="00A50883" w:rsidRPr="00D20839" w:rsidRDefault="00A50883" w:rsidP="00A50883">
      <w:pPr>
        <w:rPr>
          <w:rFonts w:asciiTheme="minorHAnsi" w:hAnsiTheme="minorHAnsi"/>
          <w:color w:val="000000"/>
          <w:sz w:val="21"/>
          <w:szCs w:val="21"/>
        </w:rPr>
      </w:pPr>
    </w:p>
    <w:p w:rsidR="00A53DE7" w:rsidRPr="00D20839" w:rsidRDefault="00A53DE7" w:rsidP="00A50883">
      <w:pPr>
        <w:rPr>
          <w:rFonts w:asciiTheme="minorHAnsi" w:hAnsiTheme="minorHAnsi"/>
          <w:b/>
          <w:bCs/>
          <w:color w:val="000000"/>
          <w:sz w:val="21"/>
          <w:szCs w:val="21"/>
        </w:rPr>
      </w:pPr>
      <w:r w:rsidRPr="00D20839">
        <w:rPr>
          <w:rFonts w:asciiTheme="minorHAnsi" w:hAnsiTheme="minorHAnsi"/>
          <w:b/>
          <w:bCs/>
          <w:color w:val="000000"/>
          <w:sz w:val="21"/>
          <w:szCs w:val="21"/>
        </w:rPr>
        <w:t xml:space="preserve">Disclosure &amp; </w:t>
      </w:r>
      <w:r w:rsidR="00165F69" w:rsidRPr="00D20839">
        <w:rPr>
          <w:rFonts w:asciiTheme="minorHAnsi" w:hAnsiTheme="minorHAnsi"/>
          <w:b/>
          <w:bCs/>
          <w:color w:val="000000"/>
          <w:sz w:val="21"/>
          <w:szCs w:val="21"/>
        </w:rPr>
        <w:t>Mitigation</w:t>
      </w:r>
      <w:r w:rsidRPr="00D20839">
        <w:rPr>
          <w:rFonts w:asciiTheme="minorHAnsi" w:hAnsiTheme="minorHAnsi"/>
          <w:b/>
          <w:bCs/>
          <w:color w:val="000000"/>
          <w:sz w:val="21"/>
          <w:szCs w:val="21"/>
        </w:rPr>
        <w:t xml:space="preserve"> Report</w:t>
      </w:r>
    </w:p>
    <w:p w:rsidR="0027396F" w:rsidRPr="00977EB6" w:rsidRDefault="00A53DE7" w:rsidP="00977EB6">
      <w:pPr>
        <w:rPr>
          <w:rFonts w:asciiTheme="minorHAnsi" w:hAnsiTheme="minorHAnsi"/>
          <w:b/>
          <w:bCs/>
          <w:color w:val="000000"/>
        </w:rPr>
      </w:pPr>
      <w:r w:rsidRPr="00D20839">
        <w:rPr>
          <w:rFonts w:asciiTheme="minorHAnsi" w:hAnsiTheme="minorHAnsi"/>
          <w:sz w:val="21"/>
          <w:szCs w:val="21"/>
        </w:rPr>
        <w:t xml:space="preserve">The University of Oklahoma College of Medicine and the Irwin H. Brown Office of Continuing Professional Development must ensure balance, independence, objectivity and scientific rigor in all its </w:t>
      </w:r>
      <w:r w:rsidR="00165F69" w:rsidRPr="00D20839">
        <w:rPr>
          <w:rFonts w:asciiTheme="minorHAnsi" w:hAnsiTheme="minorHAnsi"/>
          <w:sz w:val="21"/>
          <w:szCs w:val="21"/>
        </w:rPr>
        <w:t xml:space="preserve">accredited CE </w:t>
      </w:r>
      <w:r w:rsidRPr="00D20839">
        <w:rPr>
          <w:rFonts w:asciiTheme="minorHAnsi" w:hAnsiTheme="minorHAnsi"/>
          <w:sz w:val="21"/>
          <w:szCs w:val="21"/>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D20839">
        <w:rPr>
          <w:rFonts w:asciiTheme="minorHAnsi" w:hAnsiTheme="minorHAnsi"/>
          <w:sz w:val="21"/>
          <w:szCs w:val="21"/>
        </w:rPr>
        <w:t>planners</w:t>
      </w:r>
      <w:r w:rsidRPr="00D20839">
        <w:rPr>
          <w:rFonts w:asciiTheme="minorHAnsi" w:hAnsiTheme="minorHAnsi"/>
          <w:sz w:val="21"/>
          <w:szCs w:val="21"/>
        </w:rPr>
        <w:t xml:space="preserve"> and presenters and </w:t>
      </w:r>
      <w:r w:rsidR="00165F69" w:rsidRPr="00D20839">
        <w:rPr>
          <w:rFonts w:asciiTheme="minorHAnsi" w:hAnsiTheme="minorHAnsi"/>
          <w:sz w:val="21"/>
          <w:szCs w:val="21"/>
        </w:rPr>
        <w:t>ineligible companies</w:t>
      </w:r>
      <w:r w:rsidRPr="00D20839">
        <w:rPr>
          <w:rFonts w:asciiTheme="minorHAnsi" w:hAnsiTheme="minorHAnsi"/>
          <w:sz w:val="21"/>
          <w:szCs w:val="21"/>
        </w:rPr>
        <w:t xml:space="preserve"> for the purpose of determining the potential presence of bias or influence over educational content. The following is a summary of this activity’s disclosure and mitigation information.</w:t>
      </w:r>
    </w:p>
    <w:tbl>
      <w:tblPr>
        <w:tblStyle w:val="TableGrid"/>
        <w:tblW w:w="10975" w:type="dxa"/>
        <w:tblLook w:val="04A0" w:firstRow="1" w:lastRow="0" w:firstColumn="1" w:lastColumn="0" w:noHBand="0" w:noVBand="1"/>
      </w:tblPr>
      <w:tblGrid>
        <w:gridCol w:w="2155"/>
        <w:gridCol w:w="1350"/>
        <w:gridCol w:w="1890"/>
        <w:gridCol w:w="1980"/>
        <w:gridCol w:w="1530"/>
        <w:gridCol w:w="2070"/>
      </w:tblGrid>
      <w:tr w:rsidR="007203CC" w:rsidRPr="007203CC" w:rsidTr="000019AA">
        <w:tc>
          <w:tcPr>
            <w:tcW w:w="5395" w:type="dxa"/>
            <w:gridSpan w:val="3"/>
            <w:shd w:val="clear" w:color="auto" w:fill="BFBFBF" w:themeFill="background1" w:themeFillShade="BF"/>
          </w:tcPr>
          <w:p w:rsidR="007203CC" w:rsidRPr="007203CC" w:rsidRDefault="007203CC" w:rsidP="00977EB6">
            <w:pPr>
              <w:rPr>
                <w:rFonts w:asciiTheme="minorHAnsi" w:hAnsiTheme="minorHAnsi"/>
                <w:sz w:val="20"/>
              </w:rPr>
            </w:pPr>
          </w:p>
        </w:tc>
        <w:tc>
          <w:tcPr>
            <w:tcW w:w="5580" w:type="dxa"/>
            <w:gridSpan w:val="3"/>
            <w:shd w:val="clear" w:color="auto" w:fill="BFBFBF" w:themeFill="background1" w:themeFillShade="BF"/>
            <w:vAlign w:val="center"/>
          </w:tcPr>
          <w:p w:rsidR="007203CC" w:rsidRPr="007203CC" w:rsidRDefault="007203CC" w:rsidP="00102E3E">
            <w:pPr>
              <w:jc w:val="center"/>
              <w:rPr>
                <w:rFonts w:asciiTheme="minorHAnsi" w:hAnsiTheme="minorHAnsi"/>
                <w:b/>
                <w:sz w:val="20"/>
              </w:rPr>
            </w:pPr>
            <w:r w:rsidRPr="007203CC">
              <w:rPr>
                <w:rFonts w:asciiTheme="minorHAnsi" w:hAnsiTheme="minorHAnsi"/>
                <w:b/>
                <w:sz w:val="20"/>
              </w:rPr>
              <w:t xml:space="preserve">Nature of </w:t>
            </w:r>
            <w:r w:rsidR="00102E3E">
              <w:rPr>
                <w:rFonts w:asciiTheme="minorHAnsi" w:hAnsiTheme="minorHAnsi"/>
                <w:b/>
                <w:sz w:val="20"/>
              </w:rPr>
              <w:t xml:space="preserve">the </w:t>
            </w:r>
            <w:r w:rsidRPr="007203CC">
              <w:rPr>
                <w:rFonts w:asciiTheme="minorHAnsi" w:hAnsiTheme="minorHAnsi"/>
                <w:b/>
                <w:sz w:val="20"/>
              </w:rPr>
              <w:t>Financial Relationship</w:t>
            </w:r>
          </w:p>
        </w:tc>
      </w:tr>
      <w:tr w:rsidR="00A53DE7" w:rsidRPr="007203CC" w:rsidTr="00EB2D1B">
        <w:tc>
          <w:tcPr>
            <w:tcW w:w="215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Role(s)</w:t>
            </w:r>
          </w:p>
        </w:tc>
        <w:tc>
          <w:tcPr>
            <w:tcW w:w="135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First Name</w:t>
            </w:r>
          </w:p>
        </w:tc>
        <w:tc>
          <w:tcPr>
            <w:tcW w:w="189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Last Name</w:t>
            </w:r>
          </w:p>
        </w:tc>
        <w:tc>
          <w:tcPr>
            <w:tcW w:w="198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Ineligible Company</w:t>
            </w:r>
          </w:p>
        </w:tc>
        <w:tc>
          <w:tcPr>
            <w:tcW w:w="153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What Was Received</w:t>
            </w:r>
          </w:p>
        </w:tc>
        <w:tc>
          <w:tcPr>
            <w:tcW w:w="207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For What Role?</w:t>
            </w:r>
          </w:p>
        </w:tc>
      </w:tr>
      <w:tr w:rsidR="0021024E" w:rsidRPr="00D20839" w:rsidTr="00EB2D1B">
        <w:tc>
          <w:tcPr>
            <w:tcW w:w="2155" w:type="dxa"/>
            <w:tcBorders>
              <w:top w:val="nil"/>
              <w:left w:val="single" w:sz="8" w:space="0" w:color="auto"/>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Planning Committee</w:t>
            </w:r>
          </w:p>
        </w:tc>
        <w:tc>
          <w:tcPr>
            <w:tcW w:w="1350" w:type="dxa"/>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Jana D.</w:t>
            </w:r>
          </w:p>
        </w:tc>
        <w:tc>
          <w:tcPr>
            <w:tcW w:w="1890" w:type="dxa"/>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Bingman, MD</w:t>
            </w:r>
          </w:p>
        </w:tc>
        <w:tc>
          <w:tcPr>
            <w:tcW w:w="5580" w:type="dxa"/>
            <w:gridSpan w:val="3"/>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sz w:val="20"/>
                <w:szCs w:val="20"/>
              </w:rPr>
            </w:pPr>
            <w:r w:rsidRPr="00D20839">
              <w:rPr>
                <w:rFonts w:asciiTheme="minorHAnsi" w:hAnsiTheme="minorHAnsi"/>
                <w:sz w:val="20"/>
                <w:szCs w:val="20"/>
              </w:rPr>
              <w:t>I have no financial relationships or affiliations with ineligible companies to disclose.</w:t>
            </w:r>
          </w:p>
        </w:tc>
      </w:tr>
      <w:tr w:rsidR="0021024E" w:rsidRPr="00D20839" w:rsidTr="00EB2D1B">
        <w:tc>
          <w:tcPr>
            <w:tcW w:w="2155" w:type="dxa"/>
            <w:tcBorders>
              <w:top w:val="nil"/>
              <w:left w:val="single" w:sz="8" w:space="0" w:color="auto"/>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Planning Committee, Presenter</w:t>
            </w:r>
          </w:p>
        </w:tc>
        <w:tc>
          <w:tcPr>
            <w:tcW w:w="1350" w:type="dxa"/>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Tara R.</w:t>
            </w:r>
          </w:p>
        </w:tc>
        <w:tc>
          <w:tcPr>
            <w:tcW w:w="1890" w:type="dxa"/>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Buck, MD</w:t>
            </w:r>
          </w:p>
        </w:tc>
        <w:tc>
          <w:tcPr>
            <w:tcW w:w="5580" w:type="dxa"/>
            <w:gridSpan w:val="3"/>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sz w:val="20"/>
                <w:szCs w:val="20"/>
              </w:rPr>
            </w:pPr>
            <w:r w:rsidRPr="00D20839">
              <w:rPr>
                <w:rFonts w:asciiTheme="minorHAnsi" w:hAnsiTheme="minorHAnsi"/>
                <w:sz w:val="20"/>
                <w:szCs w:val="20"/>
              </w:rPr>
              <w:t>I have no financial relationships or affiliations with ineligible companies to disclose.</w:t>
            </w:r>
          </w:p>
        </w:tc>
      </w:tr>
      <w:tr w:rsidR="0021024E" w:rsidRPr="00D20839" w:rsidTr="00EB2D1B">
        <w:tc>
          <w:tcPr>
            <w:tcW w:w="2155" w:type="dxa"/>
            <w:tcBorders>
              <w:top w:val="nil"/>
              <w:left w:val="single" w:sz="8" w:space="0" w:color="auto"/>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Course Director/ Presenter-Panelist</w:t>
            </w:r>
          </w:p>
        </w:tc>
        <w:tc>
          <w:tcPr>
            <w:tcW w:w="1350" w:type="dxa"/>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Ondria C.</w:t>
            </w:r>
          </w:p>
        </w:tc>
        <w:tc>
          <w:tcPr>
            <w:tcW w:w="1890" w:type="dxa"/>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Gleason, MD</w:t>
            </w:r>
          </w:p>
        </w:tc>
        <w:tc>
          <w:tcPr>
            <w:tcW w:w="5580" w:type="dxa"/>
            <w:gridSpan w:val="3"/>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sz w:val="20"/>
                <w:szCs w:val="20"/>
              </w:rPr>
            </w:pPr>
            <w:r w:rsidRPr="00D20839">
              <w:rPr>
                <w:rFonts w:asciiTheme="minorHAnsi" w:hAnsiTheme="minorHAnsi"/>
                <w:sz w:val="20"/>
                <w:szCs w:val="20"/>
              </w:rPr>
              <w:t>I have no financial relationships or affiliations with ineligible companies to disclose.</w:t>
            </w:r>
          </w:p>
        </w:tc>
      </w:tr>
      <w:tr w:rsidR="0021024E" w:rsidRPr="00D20839" w:rsidTr="00EB2D1B">
        <w:tc>
          <w:tcPr>
            <w:tcW w:w="2155" w:type="dxa"/>
            <w:tcBorders>
              <w:top w:val="nil"/>
              <w:left w:val="single" w:sz="8" w:space="0" w:color="auto"/>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Planning Committee</w:t>
            </w:r>
          </w:p>
        </w:tc>
        <w:tc>
          <w:tcPr>
            <w:tcW w:w="1350" w:type="dxa"/>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Andrew H.</w:t>
            </w:r>
          </w:p>
        </w:tc>
        <w:tc>
          <w:tcPr>
            <w:tcW w:w="1890" w:type="dxa"/>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Liew, MD</w:t>
            </w:r>
          </w:p>
        </w:tc>
        <w:tc>
          <w:tcPr>
            <w:tcW w:w="5580" w:type="dxa"/>
            <w:gridSpan w:val="3"/>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sz w:val="20"/>
                <w:szCs w:val="20"/>
              </w:rPr>
            </w:pPr>
            <w:r w:rsidRPr="00D20839">
              <w:rPr>
                <w:rFonts w:asciiTheme="minorHAnsi" w:hAnsiTheme="minorHAnsi"/>
                <w:sz w:val="20"/>
                <w:szCs w:val="20"/>
              </w:rPr>
              <w:t>I have no financial relationships or affiliations with ineligible companies to disclose.</w:t>
            </w:r>
          </w:p>
        </w:tc>
      </w:tr>
      <w:tr w:rsidR="0021024E" w:rsidRPr="00D20839" w:rsidTr="00EB2D1B">
        <w:tc>
          <w:tcPr>
            <w:tcW w:w="2155" w:type="dxa"/>
            <w:tcBorders>
              <w:top w:val="nil"/>
              <w:left w:val="single" w:sz="8" w:space="0" w:color="auto"/>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Course Contact</w:t>
            </w:r>
          </w:p>
        </w:tc>
        <w:tc>
          <w:tcPr>
            <w:tcW w:w="1350" w:type="dxa"/>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Michelle A.</w:t>
            </w:r>
          </w:p>
        </w:tc>
        <w:tc>
          <w:tcPr>
            <w:tcW w:w="1890" w:type="dxa"/>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Matukewicz, MHR</w:t>
            </w:r>
          </w:p>
        </w:tc>
        <w:tc>
          <w:tcPr>
            <w:tcW w:w="5580" w:type="dxa"/>
            <w:gridSpan w:val="3"/>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sz w:val="20"/>
                <w:szCs w:val="20"/>
              </w:rPr>
            </w:pPr>
            <w:r w:rsidRPr="00D20839">
              <w:rPr>
                <w:rFonts w:asciiTheme="minorHAnsi" w:hAnsiTheme="minorHAnsi"/>
                <w:sz w:val="20"/>
                <w:szCs w:val="20"/>
              </w:rPr>
              <w:t>I have no financial relationships or affiliations with ineligible companies to disclose.</w:t>
            </w:r>
          </w:p>
        </w:tc>
      </w:tr>
      <w:tr w:rsidR="0021024E" w:rsidRPr="00D20839" w:rsidTr="00EB2D1B">
        <w:tc>
          <w:tcPr>
            <w:tcW w:w="2155" w:type="dxa"/>
            <w:tcBorders>
              <w:top w:val="nil"/>
              <w:left w:val="single" w:sz="8" w:space="0" w:color="auto"/>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Planning Committee</w:t>
            </w:r>
          </w:p>
        </w:tc>
        <w:tc>
          <w:tcPr>
            <w:tcW w:w="1350" w:type="dxa"/>
            <w:tcBorders>
              <w:top w:val="nil"/>
              <w:left w:val="nil"/>
              <w:bottom w:val="single" w:sz="8" w:space="0" w:color="auto"/>
              <w:right w:val="single" w:sz="8" w:space="0" w:color="auto"/>
            </w:tcBorders>
            <w:vAlign w:val="center"/>
          </w:tcPr>
          <w:p w:rsidR="0021024E" w:rsidRPr="00D20839" w:rsidRDefault="000019AA" w:rsidP="0021024E">
            <w:pPr>
              <w:rPr>
                <w:rFonts w:asciiTheme="minorHAnsi" w:hAnsiTheme="minorHAnsi" w:cstheme="minorHAnsi"/>
                <w:sz w:val="20"/>
                <w:szCs w:val="20"/>
              </w:rPr>
            </w:pPr>
            <w:r w:rsidRPr="00D20839">
              <w:rPr>
                <w:sz w:val="20"/>
                <w:szCs w:val="20"/>
              </w:rPr>
              <w:t>Elizabeth A</w:t>
            </w:r>
            <w:r w:rsidR="0021024E" w:rsidRPr="00D20839">
              <w:rPr>
                <w:sz w:val="20"/>
                <w:szCs w:val="20"/>
              </w:rPr>
              <w:t xml:space="preserve">. </w:t>
            </w:r>
          </w:p>
        </w:tc>
        <w:tc>
          <w:tcPr>
            <w:tcW w:w="1890" w:type="dxa"/>
            <w:tcBorders>
              <w:top w:val="nil"/>
              <w:left w:val="nil"/>
              <w:bottom w:val="single" w:sz="8" w:space="0" w:color="auto"/>
              <w:right w:val="single" w:sz="8" w:space="0" w:color="auto"/>
            </w:tcBorders>
            <w:vAlign w:val="center"/>
          </w:tcPr>
          <w:p w:rsidR="0021024E" w:rsidRPr="00D20839" w:rsidRDefault="000019AA" w:rsidP="0021024E">
            <w:pPr>
              <w:rPr>
                <w:rFonts w:asciiTheme="minorHAnsi" w:hAnsiTheme="minorHAnsi" w:cstheme="minorHAnsi"/>
                <w:sz w:val="20"/>
                <w:szCs w:val="20"/>
              </w:rPr>
            </w:pPr>
            <w:r w:rsidRPr="00D20839">
              <w:rPr>
                <w:sz w:val="20"/>
                <w:szCs w:val="20"/>
              </w:rPr>
              <w:t>George, DO</w:t>
            </w:r>
          </w:p>
        </w:tc>
        <w:tc>
          <w:tcPr>
            <w:tcW w:w="5580" w:type="dxa"/>
            <w:gridSpan w:val="3"/>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sz w:val="20"/>
                <w:szCs w:val="20"/>
              </w:rPr>
            </w:pPr>
            <w:r w:rsidRPr="00D20839">
              <w:rPr>
                <w:rFonts w:asciiTheme="minorHAnsi" w:hAnsiTheme="minorHAnsi"/>
                <w:sz w:val="20"/>
                <w:szCs w:val="20"/>
              </w:rPr>
              <w:t>I have no financial relationships or affiliations with ineligible companies to disclose.</w:t>
            </w:r>
          </w:p>
        </w:tc>
      </w:tr>
      <w:tr w:rsidR="0021024E" w:rsidRPr="00D20839" w:rsidTr="00EB2D1B">
        <w:tc>
          <w:tcPr>
            <w:tcW w:w="2155" w:type="dxa"/>
            <w:tcBorders>
              <w:top w:val="nil"/>
              <w:left w:val="single" w:sz="8" w:space="0" w:color="auto"/>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Presenter</w:t>
            </w:r>
          </w:p>
        </w:tc>
        <w:tc>
          <w:tcPr>
            <w:tcW w:w="1350" w:type="dxa"/>
            <w:tcBorders>
              <w:top w:val="nil"/>
              <w:left w:val="nil"/>
              <w:bottom w:val="single" w:sz="8" w:space="0" w:color="auto"/>
              <w:right w:val="single" w:sz="8" w:space="0" w:color="auto"/>
            </w:tcBorders>
            <w:vAlign w:val="center"/>
          </w:tcPr>
          <w:p w:rsidR="004555D9" w:rsidRPr="00D20839" w:rsidRDefault="00C92218" w:rsidP="0021024E">
            <w:pPr>
              <w:rPr>
                <w:sz w:val="20"/>
                <w:szCs w:val="20"/>
              </w:rPr>
            </w:pPr>
            <w:r>
              <w:rPr>
                <w:sz w:val="20"/>
                <w:szCs w:val="20"/>
              </w:rPr>
              <w:t xml:space="preserve">Kristin V. </w:t>
            </w:r>
          </w:p>
        </w:tc>
        <w:tc>
          <w:tcPr>
            <w:tcW w:w="1890" w:type="dxa"/>
            <w:tcBorders>
              <w:top w:val="nil"/>
              <w:left w:val="nil"/>
              <w:bottom w:val="single" w:sz="8" w:space="0" w:color="auto"/>
              <w:right w:val="single" w:sz="8" w:space="0" w:color="auto"/>
            </w:tcBorders>
            <w:vAlign w:val="center"/>
          </w:tcPr>
          <w:p w:rsidR="004555D9" w:rsidRPr="00D20839" w:rsidRDefault="004555D9" w:rsidP="00E64D7B">
            <w:pPr>
              <w:rPr>
                <w:sz w:val="20"/>
                <w:szCs w:val="20"/>
              </w:rPr>
            </w:pPr>
            <w:r w:rsidRPr="00D20839">
              <w:rPr>
                <w:sz w:val="20"/>
                <w:szCs w:val="20"/>
              </w:rPr>
              <w:t xml:space="preserve"> </w:t>
            </w:r>
            <w:r w:rsidR="00C92218">
              <w:rPr>
                <w:sz w:val="20"/>
                <w:szCs w:val="20"/>
              </w:rPr>
              <w:t>Escamilla</w:t>
            </w:r>
            <w:r w:rsidR="00E64D7B">
              <w:rPr>
                <w:sz w:val="20"/>
                <w:szCs w:val="20"/>
              </w:rPr>
              <w:t xml:space="preserve">, M.D. </w:t>
            </w:r>
          </w:p>
        </w:tc>
        <w:tc>
          <w:tcPr>
            <w:tcW w:w="5580" w:type="dxa"/>
            <w:gridSpan w:val="3"/>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sz w:val="20"/>
                <w:szCs w:val="20"/>
              </w:rPr>
            </w:pPr>
            <w:r w:rsidRPr="00D20839">
              <w:rPr>
                <w:rFonts w:asciiTheme="minorHAnsi" w:hAnsiTheme="minorHAnsi"/>
                <w:sz w:val="20"/>
                <w:szCs w:val="20"/>
              </w:rPr>
              <w:t>I have no financial relationships or affiliations with ineligible companies to disclose.</w:t>
            </w:r>
          </w:p>
        </w:tc>
      </w:tr>
      <w:tr w:rsidR="0021024E" w:rsidRPr="00D20839" w:rsidTr="00EB2D1B">
        <w:tc>
          <w:tcPr>
            <w:tcW w:w="2155" w:type="dxa"/>
            <w:tcBorders>
              <w:top w:val="nil"/>
              <w:left w:val="single" w:sz="8" w:space="0" w:color="auto"/>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Course Director / Planning Committee / Moderator/ Presenter-Panelist</w:t>
            </w:r>
          </w:p>
        </w:tc>
        <w:tc>
          <w:tcPr>
            <w:tcW w:w="1350" w:type="dxa"/>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Ashley  E.</w:t>
            </w:r>
          </w:p>
        </w:tc>
        <w:tc>
          <w:tcPr>
            <w:tcW w:w="1890" w:type="dxa"/>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Walker, MD</w:t>
            </w:r>
          </w:p>
        </w:tc>
        <w:tc>
          <w:tcPr>
            <w:tcW w:w="5580" w:type="dxa"/>
            <w:gridSpan w:val="3"/>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sz w:val="20"/>
                <w:szCs w:val="20"/>
              </w:rPr>
            </w:pPr>
            <w:r w:rsidRPr="00D20839">
              <w:rPr>
                <w:rFonts w:asciiTheme="minorHAnsi" w:hAnsiTheme="minorHAnsi"/>
                <w:sz w:val="20"/>
                <w:szCs w:val="20"/>
              </w:rPr>
              <w:t>I have no financial relationships or affiliations with ineligible companies to disclose.</w:t>
            </w:r>
          </w:p>
        </w:tc>
      </w:tr>
      <w:tr w:rsidR="000019AA" w:rsidRPr="00D20839" w:rsidTr="00EB2D1B">
        <w:tc>
          <w:tcPr>
            <w:tcW w:w="2155" w:type="dxa"/>
            <w:tcBorders>
              <w:top w:val="nil"/>
              <w:left w:val="single" w:sz="8" w:space="0" w:color="auto"/>
              <w:bottom w:val="single" w:sz="8" w:space="0" w:color="auto"/>
              <w:right w:val="single" w:sz="8" w:space="0" w:color="auto"/>
            </w:tcBorders>
            <w:vAlign w:val="center"/>
          </w:tcPr>
          <w:p w:rsidR="000019AA" w:rsidRPr="00D20839" w:rsidRDefault="000019AA" w:rsidP="000019AA">
            <w:pPr>
              <w:rPr>
                <w:rFonts w:asciiTheme="minorHAnsi" w:hAnsiTheme="minorHAnsi" w:cstheme="minorHAnsi"/>
                <w:sz w:val="20"/>
                <w:szCs w:val="20"/>
              </w:rPr>
            </w:pPr>
            <w:r w:rsidRPr="00D20839">
              <w:rPr>
                <w:rFonts w:asciiTheme="minorHAnsi" w:hAnsiTheme="minorHAnsi" w:cstheme="minorHAnsi"/>
                <w:sz w:val="20"/>
                <w:szCs w:val="20"/>
              </w:rPr>
              <w:t>Course Contact</w:t>
            </w:r>
          </w:p>
        </w:tc>
        <w:tc>
          <w:tcPr>
            <w:tcW w:w="1350" w:type="dxa"/>
            <w:tcBorders>
              <w:top w:val="nil"/>
              <w:left w:val="nil"/>
              <w:bottom w:val="single" w:sz="8" w:space="0" w:color="auto"/>
              <w:right w:val="single" w:sz="8" w:space="0" w:color="auto"/>
            </w:tcBorders>
            <w:vAlign w:val="center"/>
          </w:tcPr>
          <w:p w:rsidR="000019AA" w:rsidRPr="00D20839" w:rsidRDefault="000019AA" w:rsidP="000019AA">
            <w:pPr>
              <w:rPr>
                <w:rFonts w:asciiTheme="minorHAnsi" w:hAnsiTheme="minorHAnsi" w:cstheme="minorHAnsi"/>
                <w:sz w:val="20"/>
                <w:szCs w:val="20"/>
              </w:rPr>
            </w:pPr>
            <w:r w:rsidRPr="00D20839">
              <w:rPr>
                <w:rFonts w:asciiTheme="minorHAnsi" w:hAnsiTheme="minorHAnsi" w:cstheme="minorHAnsi"/>
                <w:sz w:val="20"/>
                <w:szCs w:val="20"/>
              </w:rPr>
              <w:t>Rhonda G.</w:t>
            </w:r>
          </w:p>
        </w:tc>
        <w:tc>
          <w:tcPr>
            <w:tcW w:w="1890" w:type="dxa"/>
            <w:tcBorders>
              <w:top w:val="nil"/>
              <w:left w:val="nil"/>
              <w:bottom w:val="single" w:sz="8" w:space="0" w:color="auto"/>
              <w:right w:val="single" w:sz="8" w:space="0" w:color="auto"/>
            </w:tcBorders>
            <w:vAlign w:val="center"/>
          </w:tcPr>
          <w:p w:rsidR="000019AA" w:rsidRPr="00D20839" w:rsidRDefault="000019AA" w:rsidP="000019AA">
            <w:pPr>
              <w:rPr>
                <w:rFonts w:asciiTheme="minorHAnsi" w:hAnsiTheme="minorHAnsi" w:cstheme="minorHAnsi"/>
                <w:sz w:val="20"/>
                <w:szCs w:val="20"/>
              </w:rPr>
            </w:pPr>
            <w:r w:rsidRPr="00D20839">
              <w:rPr>
                <w:rFonts w:asciiTheme="minorHAnsi" w:hAnsiTheme="minorHAnsi" w:cstheme="minorHAnsi"/>
                <w:sz w:val="20"/>
                <w:szCs w:val="20"/>
              </w:rPr>
              <w:t>Wallace</w:t>
            </w:r>
          </w:p>
        </w:tc>
        <w:tc>
          <w:tcPr>
            <w:tcW w:w="5580" w:type="dxa"/>
            <w:gridSpan w:val="3"/>
            <w:tcBorders>
              <w:top w:val="nil"/>
              <w:left w:val="nil"/>
              <w:bottom w:val="single" w:sz="8" w:space="0" w:color="auto"/>
              <w:right w:val="single" w:sz="8" w:space="0" w:color="auto"/>
            </w:tcBorders>
            <w:vAlign w:val="center"/>
          </w:tcPr>
          <w:p w:rsidR="000019AA" w:rsidRPr="00D20839" w:rsidRDefault="000019AA" w:rsidP="000019AA">
            <w:pPr>
              <w:rPr>
                <w:rFonts w:asciiTheme="minorHAnsi" w:hAnsiTheme="minorHAnsi"/>
                <w:sz w:val="20"/>
                <w:szCs w:val="20"/>
              </w:rPr>
            </w:pPr>
            <w:r w:rsidRPr="00D20839">
              <w:rPr>
                <w:rFonts w:asciiTheme="minorHAnsi" w:hAnsiTheme="minorHAnsi"/>
                <w:sz w:val="20"/>
                <w:szCs w:val="20"/>
              </w:rPr>
              <w:t>I have no financial relationships or affiliations with ineligible companies to disclose.</w:t>
            </w:r>
          </w:p>
        </w:tc>
      </w:tr>
    </w:tbl>
    <w:p w:rsidR="00A53DE7" w:rsidRPr="00D20839" w:rsidRDefault="00A53DE7" w:rsidP="000019AA">
      <w:pPr>
        <w:rPr>
          <w:rFonts w:asciiTheme="minorHAnsi" w:hAnsiTheme="minorHAnsi"/>
          <w:sz w:val="20"/>
          <w:szCs w:val="20"/>
        </w:rPr>
      </w:pPr>
    </w:p>
    <w:sectPr w:rsidR="00A53DE7" w:rsidRPr="00D20839" w:rsidSect="00884FE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A3E" w:rsidRDefault="00743A3E" w:rsidP="004F5896">
      <w:r>
        <w:separator/>
      </w:r>
    </w:p>
  </w:endnote>
  <w:endnote w:type="continuationSeparator" w:id="0">
    <w:p w:rsidR="00743A3E" w:rsidRDefault="00743A3E"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F69" w:rsidRPr="00C02746" w:rsidRDefault="00165F69" w:rsidP="003C691A">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A3E" w:rsidRDefault="00743A3E" w:rsidP="004F5896">
      <w:r>
        <w:separator/>
      </w:r>
    </w:p>
  </w:footnote>
  <w:footnote w:type="continuationSeparator" w:id="0">
    <w:p w:rsidR="00743A3E" w:rsidRDefault="00743A3E"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070B"/>
    <w:multiLevelType w:val="hybridMultilevel"/>
    <w:tmpl w:val="B68ED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AFC43B7"/>
    <w:multiLevelType w:val="hybridMultilevel"/>
    <w:tmpl w:val="A4527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EA11308"/>
    <w:multiLevelType w:val="hybridMultilevel"/>
    <w:tmpl w:val="C0925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02B2E"/>
    <w:multiLevelType w:val="hybridMultilevel"/>
    <w:tmpl w:val="738E8CE4"/>
    <w:lvl w:ilvl="0" w:tplc="A6CA1C8C">
      <w:start w:val="1"/>
      <w:numFmt w:val="bullet"/>
      <w:lvlText w:val=""/>
      <w:lvlJc w:val="left"/>
      <w:pPr>
        <w:tabs>
          <w:tab w:val="num" w:pos="720"/>
        </w:tabs>
        <w:ind w:left="720" w:hanging="360"/>
      </w:pPr>
      <w:rPr>
        <w:rFonts w:ascii="Wingdings 3" w:hAnsi="Wingdings 3" w:hint="default"/>
      </w:rPr>
    </w:lvl>
    <w:lvl w:ilvl="1" w:tplc="8D80E972">
      <w:start w:val="1"/>
      <w:numFmt w:val="bullet"/>
      <w:lvlText w:val=""/>
      <w:lvlJc w:val="left"/>
      <w:pPr>
        <w:tabs>
          <w:tab w:val="num" w:pos="1440"/>
        </w:tabs>
        <w:ind w:left="1440" w:hanging="360"/>
      </w:pPr>
      <w:rPr>
        <w:rFonts w:ascii="Wingdings 3" w:hAnsi="Wingdings 3" w:hint="default"/>
      </w:rPr>
    </w:lvl>
    <w:lvl w:ilvl="2" w:tplc="4A7CDD32">
      <w:start w:val="1"/>
      <w:numFmt w:val="bullet"/>
      <w:lvlText w:val=""/>
      <w:lvlJc w:val="left"/>
      <w:pPr>
        <w:tabs>
          <w:tab w:val="num" w:pos="2160"/>
        </w:tabs>
        <w:ind w:left="2160" w:hanging="360"/>
      </w:pPr>
      <w:rPr>
        <w:rFonts w:ascii="Wingdings 3" w:hAnsi="Wingdings 3" w:hint="default"/>
      </w:rPr>
    </w:lvl>
    <w:lvl w:ilvl="3" w:tplc="77AA1050">
      <w:start w:val="1"/>
      <w:numFmt w:val="bullet"/>
      <w:lvlText w:val=""/>
      <w:lvlJc w:val="left"/>
      <w:pPr>
        <w:tabs>
          <w:tab w:val="num" w:pos="2880"/>
        </w:tabs>
        <w:ind w:left="2880" w:hanging="360"/>
      </w:pPr>
      <w:rPr>
        <w:rFonts w:ascii="Wingdings 3" w:hAnsi="Wingdings 3" w:hint="default"/>
      </w:rPr>
    </w:lvl>
    <w:lvl w:ilvl="4" w:tplc="3AF42092">
      <w:start w:val="1"/>
      <w:numFmt w:val="bullet"/>
      <w:lvlText w:val=""/>
      <w:lvlJc w:val="left"/>
      <w:pPr>
        <w:tabs>
          <w:tab w:val="num" w:pos="3600"/>
        </w:tabs>
        <w:ind w:left="3600" w:hanging="360"/>
      </w:pPr>
      <w:rPr>
        <w:rFonts w:ascii="Wingdings 3" w:hAnsi="Wingdings 3" w:hint="default"/>
      </w:rPr>
    </w:lvl>
    <w:lvl w:ilvl="5" w:tplc="CD583092">
      <w:start w:val="1"/>
      <w:numFmt w:val="bullet"/>
      <w:lvlText w:val=""/>
      <w:lvlJc w:val="left"/>
      <w:pPr>
        <w:tabs>
          <w:tab w:val="num" w:pos="4320"/>
        </w:tabs>
        <w:ind w:left="4320" w:hanging="360"/>
      </w:pPr>
      <w:rPr>
        <w:rFonts w:ascii="Wingdings 3" w:hAnsi="Wingdings 3" w:hint="default"/>
      </w:rPr>
    </w:lvl>
    <w:lvl w:ilvl="6" w:tplc="CA523004">
      <w:start w:val="1"/>
      <w:numFmt w:val="bullet"/>
      <w:lvlText w:val=""/>
      <w:lvlJc w:val="left"/>
      <w:pPr>
        <w:tabs>
          <w:tab w:val="num" w:pos="5040"/>
        </w:tabs>
        <w:ind w:left="5040" w:hanging="360"/>
      </w:pPr>
      <w:rPr>
        <w:rFonts w:ascii="Wingdings 3" w:hAnsi="Wingdings 3" w:hint="default"/>
      </w:rPr>
    </w:lvl>
    <w:lvl w:ilvl="7" w:tplc="97842078">
      <w:start w:val="1"/>
      <w:numFmt w:val="bullet"/>
      <w:lvlText w:val=""/>
      <w:lvlJc w:val="left"/>
      <w:pPr>
        <w:tabs>
          <w:tab w:val="num" w:pos="5760"/>
        </w:tabs>
        <w:ind w:left="5760" w:hanging="360"/>
      </w:pPr>
      <w:rPr>
        <w:rFonts w:ascii="Wingdings 3" w:hAnsi="Wingdings 3" w:hint="default"/>
      </w:rPr>
    </w:lvl>
    <w:lvl w:ilvl="8" w:tplc="16BEE59C">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65CC0CBC"/>
    <w:multiLevelType w:val="hybridMultilevel"/>
    <w:tmpl w:val="AE4E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98A1DE2"/>
    <w:multiLevelType w:val="hybridMultilevel"/>
    <w:tmpl w:val="2BAEF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6E5609"/>
    <w:multiLevelType w:val="hybridMultilevel"/>
    <w:tmpl w:val="3AE84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019AA"/>
    <w:rsid w:val="000970B2"/>
    <w:rsid w:val="00102E3E"/>
    <w:rsid w:val="001376F1"/>
    <w:rsid w:val="00165F69"/>
    <w:rsid w:val="001A763F"/>
    <w:rsid w:val="001D02AF"/>
    <w:rsid w:val="001E4BF3"/>
    <w:rsid w:val="0021024E"/>
    <w:rsid w:val="0021756A"/>
    <w:rsid w:val="00261405"/>
    <w:rsid w:val="00266DEC"/>
    <w:rsid w:val="0027396F"/>
    <w:rsid w:val="00294E29"/>
    <w:rsid w:val="002F4AB5"/>
    <w:rsid w:val="00304240"/>
    <w:rsid w:val="00341461"/>
    <w:rsid w:val="00355683"/>
    <w:rsid w:val="003A5025"/>
    <w:rsid w:val="003C691A"/>
    <w:rsid w:val="003E1622"/>
    <w:rsid w:val="003F66FB"/>
    <w:rsid w:val="004216CE"/>
    <w:rsid w:val="00423858"/>
    <w:rsid w:val="004555D9"/>
    <w:rsid w:val="00483DDC"/>
    <w:rsid w:val="004C2A5E"/>
    <w:rsid w:val="004D536D"/>
    <w:rsid w:val="004E0569"/>
    <w:rsid w:val="004E1FB6"/>
    <w:rsid w:val="004F5896"/>
    <w:rsid w:val="005215E7"/>
    <w:rsid w:val="005C2A2A"/>
    <w:rsid w:val="005F7A6E"/>
    <w:rsid w:val="00625ED8"/>
    <w:rsid w:val="00632E69"/>
    <w:rsid w:val="00650E06"/>
    <w:rsid w:val="00663AC9"/>
    <w:rsid w:val="006A2E9E"/>
    <w:rsid w:val="006A4239"/>
    <w:rsid w:val="006B3EEF"/>
    <w:rsid w:val="006C2108"/>
    <w:rsid w:val="006E4076"/>
    <w:rsid w:val="006F28A2"/>
    <w:rsid w:val="00710A31"/>
    <w:rsid w:val="00720047"/>
    <w:rsid w:val="007203CC"/>
    <w:rsid w:val="00743A3E"/>
    <w:rsid w:val="00782689"/>
    <w:rsid w:val="00790F6B"/>
    <w:rsid w:val="008051FA"/>
    <w:rsid w:val="00861F9D"/>
    <w:rsid w:val="00884FE8"/>
    <w:rsid w:val="00896743"/>
    <w:rsid w:val="008A6435"/>
    <w:rsid w:val="008C0275"/>
    <w:rsid w:val="008E4B02"/>
    <w:rsid w:val="008E73F8"/>
    <w:rsid w:val="00922708"/>
    <w:rsid w:val="0093422A"/>
    <w:rsid w:val="00977EB6"/>
    <w:rsid w:val="00997A70"/>
    <w:rsid w:val="009B6304"/>
    <w:rsid w:val="009C3982"/>
    <w:rsid w:val="009C46ED"/>
    <w:rsid w:val="00A03652"/>
    <w:rsid w:val="00A25A01"/>
    <w:rsid w:val="00A42CDD"/>
    <w:rsid w:val="00A50883"/>
    <w:rsid w:val="00A50DAA"/>
    <w:rsid w:val="00A53DE7"/>
    <w:rsid w:val="00A8243C"/>
    <w:rsid w:val="00B1119F"/>
    <w:rsid w:val="00B2566D"/>
    <w:rsid w:val="00B26176"/>
    <w:rsid w:val="00B578B1"/>
    <w:rsid w:val="00B864E8"/>
    <w:rsid w:val="00B96582"/>
    <w:rsid w:val="00BB46E7"/>
    <w:rsid w:val="00BB496D"/>
    <w:rsid w:val="00BB59A9"/>
    <w:rsid w:val="00BD1608"/>
    <w:rsid w:val="00BE62C8"/>
    <w:rsid w:val="00C007BD"/>
    <w:rsid w:val="00C02746"/>
    <w:rsid w:val="00C74B49"/>
    <w:rsid w:val="00C92218"/>
    <w:rsid w:val="00CF7EB8"/>
    <w:rsid w:val="00D20839"/>
    <w:rsid w:val="00D544C0"/>
    <w:rsid w:val="00E125D3"/>
    <w:rsid w:val="00E6288E"/>
    <w:rsid w:val="00E64D7B"/>
    <w:rsid w:val="00E848AC"/>
    <w:rsid w:val="00E87C1D"/>
    <w:rsid w:val="00EB2D1B"/>
    <w:rsid w:val="00EC577B"/>
    <w:rsid w:val="00EE112C"/>
    <w:rsid w:val="00EF34DC"/>
    <w:rsid w:val="00F0560F"/>
    <w:rsid w:val="00F278D3"/>
    <w:rsid w:val="00F41EB9"/>
    <w:rsid w:val="00F62ABE"/>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66DEC"/>
    <w:rPr>
      <w:rFonts w:cstheme="minorBidi"/>
      <w:szCs w:val="21"/>
    </w:rPr>
  </w:style>
  <w:style w:type="character" w:customStyle="1" w:styleId="PlainTextChar">
    <w:name w:val="Plain Text Char"/>
    <w:basedOn w:val="DefaultParagraphFont"/>
    <w:link w:val="PlainText"/>
    <w:uiPriority w:val="99"/>
    <w:semiHidden/>
    <w:rsid w:val="00266DEC"/>
    <w:rPr>
      <w:rFonts w:ascii="Calibri" w:hAnsi="Calibri"/>
      <w:szCs w:val="21"/>
    </w:rPr>
  </w:style>
  <w:style w:type="character" w:styleId="FollowedHyperlink">
    <w:name w:val="FollowedHyperlink"/>
    <w:basedOn w:val="DefaultParagraphFont"/>
    <w:uiPriority w:val="99"/>
    <w:semiHidden/>
    <w:unhideWhenUsed/>
    <w:rsid w:val="00266DEC"/>
    <w:rPr>
      <w:color w:val="954F72" w:themeColor="followedHyperlink"/>
      <w:u w:val="single"/>
    </w:rPr>
  </w:style>
  <w:style w:type="paragraph" w:customStyle="1" w:styleId="Default">
    <w:name w:val="Default"/>
    <w:basedOn w:val="Normal"/>
    <w:rsid w:val="00BD1608"/>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3402">
      <w:bodyDiv w:val="1"/>
      <w:marLeft w:val="0"/>
      <w:marRight w:val="0"/>
      <w:marTop w:val="0"/>
      <w:marBottom w:val="0"/>
      <w:divBdr>
        <w:top w:val="none" w:sz="0" w:space="0" w:color="auto"/>
        <w:left w:val="none" w:sz="0" w:space="0" w:color="auto"/>
        <w:bottom w:val="none" w:sz="0" w:space="0" w:color="auto"/>
        <w:right w:val="none" w:sz="0" w:space="0" w:color="auto"/>
      </w:divBdr>
    </w:div>
    <w:div w:id="281880902">
      <w:bodyDiv w:val="1"/>
      <w:marLeft w:val="0"/>
      <w:marRight w:val="0"/>
      <w:marTop w:val="0"/>
      <w:marBottom w:val="0"/>
      <w:divBdr>
        <w:top w:val="none" w:sz="0" w:space="0" w:color="auto"/>
        <w:left w:val="none" w:sz="0" w:space="0" w:color="auto"/>
        <w:bottom w:val="none" w:sz="0" w:space="0" w:color="auto"/>
        <w:right w:val="none" w:sz="0" w:space="0" w:color="auto"/>
      </w:divBdr>
      <w:divsChild>
        <w:div w:id="2029066570">
          <w:marLeft w:val="0"/>
          <w:marRight w:val="0"/>
          <w:marTop w:val="0"/>
          <w:marBottom w:val="0"/>
          <w:divBdr>
            <w:top w:val="none" w:sz="0" w:space="0" w:color="auto"/>
            <w:left w:val="none" w:sz="0" w:space="0" w:color="auto"/>
            <w:bottom w:val="none" w:sz="0" w:space="0" w:color="auto"/>
            <w:right w:val="none" w:sz="0" w:space="0" w:color="auto"/>
          </w:divBdr>
        </w:div>
        <w:div w:id="790393599">
          <w:marLeft w:val="0"/>
          <w:marRight w:val="0"/>
          <w:marTop w:val="0"/>
          <w:marBottom w:val="0"/>
          <w:divBdr>
            <w:top w:val="none" w:sz="0" w:space="0" w:color="auto"/>
            <w:left w:val="none" w:sz="0" w:space="0" w:color="auto"/>
            <w:bottom w:val="none" w:sz="0" w:space="0" w:color="auto"/>
            <w:right w:val="none" w:sz="0" w:space="0" w:color="auto"/>
          </w:divBdr>
        </w:div>
        <w:div w:id="1396274396">
          <w:marLeft w:val="0"/>
          <w:marRight w:val="0"/>
          <w:marTop w:val="0"/>
          <w:marBottom w:val="0"/>
          <w:divBdr>
            <w:top w:val="none" w:sz="0" w:space="0" w:color="auto"/>
            <w:left w:val="none" w:sz="0" w:space="0" w:color="auto"/>
            <w:bottom w:val="none" w:sz="0" w:space="0" w:color="auto"/>
            <w:right w:val="none" w:sz="0" w:space="0" w:color="auto"/>
          </w:divBdr>
        </w:div>
        <w:div w:id="1203593376">
          <w:marLeft w:val="0"/>
          <w:marRight w:val="0"/>
          <w:marTop w:val="0"/>
          <w:marBottom w:val="0"/>
          <w:divBdr>
            <w:top w:val="none" w:sz="0" w:space="0" w:color="auto"/>
            <w:left w:val="none" w:sz="0" w:space="0" w:color="auto"/>
            <w:bottom w:val="none" w:sz="0" w:space="0" w:color="auto"/>
            <w:right w:val="none" w:sz="0" w:space="0" w:color="auto"/>
          </w:divBdr>
        </w:div>
      </w:divsChild>
    </w:div>
    <w:div w:id="457575011">
      <w:bodyDiv w:val="1"/>
      <w:marLeft w:val="0"/>
      <w:marRight w:val="0"/>
      <w:marTop w:val="0"/>
      <w:marBottom w:val="0"/>
      <w:divBdr>
        <w:top w:val="none" w:sz="0" w:space="0" w:color="auto"/>
        <w:left w:val="none" w:sz="0" w:space="0" w:color="auto"/>
        <w:bottom w:val="none" w:sz="0" w:space="0" w:color="auto"/>
        <w:right w:val="none" w:sz="0" w:space="0" w:color="auto"/>
      </w:divBdr>
    </w:div>
    <w:div w:id="487676672">
      <w:bodyDiv w:val="1"/>
      <w:marLeft w:val="0"/>
      <w:marRight w:val="0"/>
      <w:marTop w:val="0"/>
      <w:marBottom w:val="0"/>
      <w:divBdr>
        <w:top w:val="none" w:sz="0" w:space="0" w:color="auto"/>
        <w:left w:val="none" w:sz="0" w:space="0" w:color="auto"/>
        <w:bottom w:val="none" w:sz="0" w:space="0" w:color="auto"/>
        <w:right w:val="none" w:sz="0" w:space="0" w:color="auto"/>
      </w:divBdr>
    </w:div>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651175112">
      <w:bodyDiv w:val="1"/>
      <w:marLeft w:val="0"/>
      <w:marRight w:val="0"/>
      <w:marTop w:val="0"/>
      <w:marBottom w:val="0"/>
      <w:divBdr>
        <w:top w:val="none" w:sz="0" w:space="0" w:color="auto"/>
        <w:left w:val="none" w:sz="0" w:space="0" w:color="auto"/>
        <w:bottom w:val="none" w:sz="0" w:space="0" w:color="auto"/>
        <w:right w:val="none" w:sz="0" w:space="0" w:color="auto"/>
      </w:divBdr>
    </w:div>
    <w:div w:id="853569679">
      <w:bodyDiv w:val="1"/>
      <w:marLeft w:val="0"/>
      <w:marRight w:val="0"/>
      <w:marTop w:val="0"/>
      <w:marBottom w:val="0"/>
      <w:divBdr>
        <w:top w:val="none" w:sz="0" w:space="0" w:color="auto"/>
        <w:left w:val="none" w:sz="0" w:space="0" w:color="auto"/>
        <w:bottom w:val="none" w:sz="0" w:space="0" w:color="auto"/>
        <w:right w:val="none" w:sz="0" w:space="0" w:color="auto"/>
      </w:divBdr>
    </w:div>
    <w:div w:id="986665967">
      <w:bodyDiv w:val="1"/>
      <w:marLeft w:val="0"/>
      <w:marRight w:val="0"/>
      <w:marTop w:val="0"/>
      <w:marBottom w:val="0"/>
      <w:divBdr>
        <w:top w:val="none" w:sz="0" w:space="0" w:color="auto"/>
        <w:left w:val="none" w:sz="0" w:space="0" w:color="auto"/>
        <w:bottom w:val="none" w:sz="0" w:space="0" w:color="auto"/>
        <w:right w:val="none" w:sz="0" w:space="0" w:color="auto"/>
      </w:divBdr>
    </w:div>
    <w:div w:id="1120535143">
      <w:bodyDiv w:val="1"/>
      <w:marLeft w:val="0"/>
      <w:marRight w:val="0"/>
      <w:marTop w:val="0"/>
      <w:marBottom w:val="0"/>
      <w:divBdr>
        <w:top w:val="none" w:sz="0" w:space="0" w:color="auto"/>
        <w:left w:val="none" w:sz="0" w:space="0" w:color="auto"/>
        <w:bottom w:val="none" w:sz="0" w:space="0" w:color="auto"/>
        <w:right w:val="none" w:sz="0" w:space="0" w:color="auto"/>
      </w:divBdr>
    </w:div>
    <w:div w:id="1161308689">
      <w:bodyDiv w:val="1"/>
      <w:marLeft w:val="0"/>
      <w:marRight w:val="0"/>
      <w:marTop w:val="0"/>
      <w:marBottom w:val="0"/>
      <w:divBdr>
        <w:top w:val="none" w:sz="0" w:space="0" w:color="auto"/>
        <w:left w:val="none" w:sz="0" w:space="0" w:color="auto"/>
        <w:bottom w:val="none" w:sz="0" w:space="0" w:color="auto"/>
        <w:right w:val="none" w:sz="0" w:space="0" w:color="auto"/>
      </w:divBdr>
    </w:div>
    <w:div w:id="1401244648">
      <w:bodyDiv w:val="1"/>
      <w:marLeft w:val="0"/>
      <w:marRight w:val="0"/>
      <w:marTop w:val="0"/>
      <w:marBottom w:val="0"/>
      <w:divBdr>
        <w:top w:val="none" w:sz="0" w:space="0" w:color="auto"/>
        <w:left w:val="none" w:sz="0" w:space="0" w:color="auto"/>
        <w:bottom w:val="none" w:sz="0" w:space="0" w:color="auto"/>
        <w:right w:val="none" w:sz="0" w:space="0" w:color="auto"/>
      </w:divBdr>
    </w:div>
    <w:div w:id="1467628999">
      <w:bodyDiv w:val="1"/>
      <w:marLeft w:val="0"/>
      <w:marRight w:val="0"/>
      <w:marTop w:val="0"/>
      <w:marBottom w:val="0"/>
      <w:divBdr>
        <w:top w:val="none" w:sz="0" w:space="0" w:color="auto"/>
        <w:left w:val="none" w:sz="0" w:space="0" w:color="auto"/>
        <w:bottom w:val="none" w:sz="0" w:space="0" w:color="auto"/>
        <w:right w:val="none" w:sz="0" w:space="0" w:color="auto"/>
      </w:divBdr>
    </w:div>
    <w:div w:id="1544947806">
      <w:bodyDiv w:val="1"/>
      <w:marLeft w:val="0"/>
      <w:marRight w:val="0"/>
      <w:marTop w:val="0"/>
      <w:marBottom w:val="0"/>
      <w:divBdr>
        <w:top w:val="none" w:sz="0" w:space="0" w:color="auto"/>
        <w:left w:val="none" w:sz="0" w:space="0" w:color="auto"/>
        <w:bottom w:val="none" w:sz="0" w:space="0" w:color="auto"/>
        <w:right w:val="none" w:sz="0" w:space="0" w:color="auto"/>
      </w:divBdr>
    </w:div>
    <w:div w:id="18616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lmed.utexas.edu/units/department-of-psychiat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9E0B2-5AC6-45C1-B065-97B00F8B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2021-12-07T14:14:00Z</dcterms:created>
  <dcterms:modified xsi:type="dcterms:W3CDTF">2021-12-07T14:14:00Z</dcterms:modified>
</cp:coreProperties>
</file>