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1F" w:rsidRPr="00FD2EC0" w:rsidRDefault="00FC431F" w:rsidP="00FC431F">
      <w:pPr>
        <w:jc w:val="center"/>
        <w:rPr>
          <w:rFonts w:ascii="Arial Narrow" w:eastAsia="Times New Roman" w:hAnsi="Arial Narrow"/>
          <w:b/>
          <w:color w:val="000000"/>
          <w:sz w:val="28"/>
          <w:szCs w:val="28"/>
        </w:rPr>
      </w:pPr>
      <w:bookmarkStart w:id="0" w:name="_GoBack"/>
      <w:bookmarkEnd w:id="0"/>
      <w:r w:rsidRPr="00FD2EC0">
        <w:rPr>
          <w:rFonts w:ascii="Arial Narrow" w:eastAsia="Times New Roman" w:hAnsi="Arial Narrow"/>
          <w:b/>
          <w:color w:val="000000"/>
          <w:sz w:val="28"/>
          <w:szCs w:val="28"/>
        </w:rPr>
        <w:t>Pediatric Grand Rounds – Tulsa SCM</w:t>
      </w:r>
    </w:p>
    <w:p w:rsidR="00FC431F" w:rsidRPr="00FD2EC0" w:rsidRDefault="003668B1" w:rsidP="00FC431F">
      <w:pPr>
        <w:spacing w:after="120"/>
        <w:jc w:val="center"/>
        <w:rPr>
          <w:rFonts w:ascii="Arial Narrow" w:eastAsia="Times New Roman" w:hAnsi="Arial Narrow"/>
          <w:b/>
          <w:color w:val="000000"/>
          <w:sz w:val="28"/>
          <w:szCs w:val="28"/>
        </w:rPr>
      </w:pPr>
      <w:r w:rsidRPr="00FD2EC0">
        <w:rPr>
          <w:rFonts w:ascii="Arial Narrow" w:eastAsia="Times New Roman" w:hAnsi="Arial Narrow"/>
          <w:b/>
          <w:color w:val="000000"/>
          <w:sz w:val="28"/>
          <w:szCs w:val="28"/>
        </w:rPr>
        <w:t>Course No. 22</w:t>
      </w:r>
      <w:r w:rsidR="00FC431F" w:rsidRPr="00FD2EC0">
        <w:rPr>
          <w:rFonts w:ascii="Arial Narrow" w:eastAsia="Times New Roman" w:hAnsi="Arial Narrow"/>
          <w:b/>
          <w:color w:val="000000"/>
          <w:sz w:val="28"/>
          <w:szCs w:val="28"/>
        </w:rPr>
        <w:t>D30</w:t>
      </w:r>
    </w:p>
    <w:p w:rsidR="00FC431F" w:rsidRPr="00FD2EC0" w:rsidRDefault="00376EF9" w:rsidP="00FC431F">
      <w:pPr>
        <w:jc w:val="center"/>
        <w:rPr>
          <w:rFonts w:ascii="Arial Narrow" w:eastAsia="Times New Roman" w:hAnsi="Arial Narrow"/>
          <w:b/>
          <w:color w:val="000000"/>
          <w:sz w:val="28"/>
          <w:szCs w:val="28"/>
        </w:rPr>
      </w:pPr>
      <w:r>
        <w:rPr>
          <w:rFonts w:ascii="Arial Narrow" w:eastAsia="Times New Roman" w:hAnsi="Arial Narrow"/>
          <w:b/>
          <w:color w:val="000000"/>
          <w:sz w:val="28"/>
          <w:szCs w:val="28"/>
        </w:rPr>
        <w:t>Tuesday, December 14</w:t>
      </w:r>
      <w:r w:rsidR="00FC431F" w:rsidRPr="00FD2EC0">
        <w:rPr>
          <w:rFonts w:ascii="Arial Narrow" w:eastAsia="Times New Roman" w:hAnsi="Arial Narrow"/>
          <w:b/>
          <w:color w:val="000000"/>
          <w:sz w:val="28"/>
          <w:szCs w:val="28"/>
        </w:rPr>
        <w:t>, 2021</w:t>
      </w:r>
    </w:p>
    <w:p w:rsidR="00FC431F" w:rsidRPr="00FD2EC0" w:rsidRDefault="00FC431F" w:rsidP="00FC431F">
      <w:pPr>
        <w:jc w:val="center"/>
        <w:rPr>
          <w:rFonts w:ascii="Arial Narrow" w:eastAsia="Times New Roman" w:hAnsi="Arial Narrow"/>
          <w:b/>
          <w:color w:val="000000"/>
          <w:sz w:val="28"/>
          <w:szCs w:val="28"/>
        </w:rPr>
      </w:pPr>
      <w:r w:rsidRPr="00FD2EC0">
        <w:rPr>
          <w:rFonts w:ascii="Arial Narrow" w:eastAsia="Times New Roman" w:hAnsi="Arial Narrow"/>
          <w:b/>
          <w:color w:val="000000"/>
          <w:sz w:val="28"/>
          <w:szCs w:val="28"/>
        </w:rPr>
        <w:t>8:00 – 9:00 am</w:t>
      </w:r>
    </w:p>
    <w:p w:rsidR="00884FE8" w:rsidRPr="00FD2EC0" w:rsidRDefault="00884FE8" w:rsidP="00977EB6">
      <w:pPr>
        <w:rPr>
          <w:rFonts w:ascii="Arial Narrow" w:hAnsi="Arial Narrow"/>
          <w:color w:val="000000"/>
        </w:rPr>
      </w:pPr>
    </w:p>
    <w:p w:rsidR="00884FE8" w:rsidRPr="00FD2EC0" w:rsidRDefault="00884FE8" w:rsidP="00977EB6">
      <w:pPr>
        <w:jc w:val="center"/>
        <w:rPr>
          <w:rFonts w:ascii="Arial Narrow" w:hAnsi="Arial Narrow"/>
          <w:b/>
          <w:bCs/>
          <w:color w:val="FF0000"/>
          <w:sz w:val="28"/>
          <w:szCs w:val="28"/>
        </w:rPr>
      </w:pPr>
      <w:r w:rsidRPr="00FD2EC0">
        <w:rPr>
          <w:rFonts w:ascii="Arial Narrow" w:hAnsi="Arial Narrow"/>
          <w:b/>
          <w:bCs/>
          <w:color w:val="FF0000"/>
          <w:sz w:val="28"/>
          <w:szCs w:val="28"/>
        </w:rPr>
        <w:t xml:space="preserve">* * * </w:t>
      </w:r>
      <w:r w:rsidR="00FC431F" w:rsidRPr="00FD2EC0">
        <w:rPr>
          <w:rFonts w:ascii="Arial Narrow" w:hAnsi="Arial Narrow"/>
          <w:b/>
          <w:bCs/>
          <w:color w:val="1F497D"/>
          <w:sz w:val="28"/>
          <w:szCs w:val="28"/>
        </w:rPr>
        <w:t>Zoom Teleconference Meeting</w:t>
      </w:r>
      <w:r w:rsidR="009B6304" w:rsidRPr="00FD2EC0">
        <w:rPr>
          <w:rFonts w:ascii="Arial Narrow" w:hAnsi="Arial Narrow"/>
          <w:b/>
          <w:bCs/>
          <w:color w:val="FF0000"/>
          <w:sz w:val="28"/>
          <w:szCs w:val="28"/>
        </w:rPr>
        <w:t xml:space="preserve"> </w:t>
      </w:r>
      <w:r w:rsidRPr="00FD2EC0">
        <w:rPr>
          <w:rFonts w:ascii="Arial Narrow" w:hAnsi="Arial Narrow"/>
          <w:b/>
          <w:bCs/>
          <w:color w:val="FF0000"/>
          <w:sz w:val="28"/>
          <w:szCs w:val="28"/>
        </w:rPr>
        <w:t>* * *</w:t>
      </w:r>
    </w:p>
    <w:p w:rsidR="003668B1" w:rsidRPr="00FD2EC0" w:rsidRDefault="003668B1" w:rsidP="00977EB6">
      <w:pPr>
        <w:jc w:val="center"/>
        <w:rPr>
          <w:rFonts w:ascii="Arial Narrow" w:hAnsi="Arial Narrow"/>
          <w:color w:val="000000"/>
          <w:sz w:val="36"/>
          <w:szCs w:val="28"/>
        </w:rPr>
      </w:pPr>
    </w:p>
    <w:p w:rsidR="003668B1" w:rsidRPr="00376EF9" w:rsidRDefault="003668B1" w:rsidP="00376EF9">
      <w:pPr>
        <w:jc w:val="center"/>
        <w:rPr>
          <w:rFonts w:ascii="Arial Narrow" w:eastAsia="Times New Roman" w:hAnsi="Arial Narrow" w:cs="Tahoma"/>
          <w:color w:val="FF0000"/>
          <w:sz w:val="24"/>
          <w:szCs w:val="20"/>
        </w:rPr>
      </w:pPr>
      <w:r w:rsidRPr="00FD2EC0">
        <w:rPr>
          <w:rFonts w:ascii="Arial Narrow" w:eastAsia="Times New Roman" w:hAnsi="Arial Narrow" w:cs="Tahoma"/>
          <w:color w:val="FF0000"/>
          <w:sz w:val="24"/>
          <w:szCs w:val="20"/>
        </w:rPr>
        <w:t>“</w:t>
      </w:r>
      <w:r w:rsidR="00376EF9" w:rsidRPr="00376EF9">
        <w:rPr>
          <w:rFonts w:ascii="Arial Narrow" w:eastAsia="Times New Roman" w:hAnsi="Arial Narrow" w:cs="Tahoma"/>
          <w:color w:val="FF0000"/>
          <w:sz w:val="24"/>
          <w:szCs w:val="20"/>
        </w:rPr>
        <w:t>Primary Care for Complex Kids: Preventive and General Care</w:t>
      </w:r>
      <w:r w:rsidRPr="00FD2EC0">
        <w:rPr>
          <w:rFonts w:ascii="Arial Narrow" w:eastAsia="Times New Roman" w:hAnsi="Arial Narrow" w:cs="Tahoma"/>
          <w:color w:val="FF0000"/>
          <w:sz w:val="24"/>
          <w:szCs w:val="20"/>
        </w:rPr>
        <w:t>”</w:t>
      </w:r>
    </w:p>
    <w:p w:rsidR="00FF152D" w:rsidRPr="00FD2EC0" w:rsidRDefault="00FF152D" w:rsidP="00977EB6">
      <w:pPr>
        <w:jc w:val="center"/>
        <w:rPr>
          <w:rFonts w:ascii="Arial Narrow" w:hAnsi="Arial Narrow"/>
          <w:color w:val="000000"/>
        </w:rPr>
      </w:pPr>
    </w:p>
    <w:p w:rsidR="00884FE8" w:rsidRPr="00FD2EC0" w:rsidRDefault="00884FE8" w:rsidP="00977EB6">
      <w:pPr>
        <w:jc w:val="center"/>
        <w:rPr>
          <w:rFonts w:ascii="Arial Narrow" w:hAnsi="Arial Narrow"/>
          <w:color w:val="000000"/>
        </w:rPr>
      </w:pPr>
      <w:r w:rsidRPr="00FD2EC0">
        <w:rPr>
          <w:rFonts w:ascii="Arial Narrow" w:hAnsi="Arial Narrow"/>
          <w:color w:val="000000"/>
        </w:rPr>
        <w:t>- - - - - - - - - - - - - - - - - - - -</w:t>
      </w:r>
    </w:p>
    <w:p w:rsidR="00884FE8" w:rsidRPr="004E06F7" w:rsidRDefault="00884FE8" w:rsidP="00977EB6">
      <w:pPr>
        <w:jc w:val="center"/>
        <w:rPr>
          <w:rFonts w:ascii="Arial Narrow" w:hAnsi="Arial Narrow"/>
          <w:color w:val="000000" w:themeColor="text1"/>
        </w:rPr>
      </w:pPr>
      <w:r w:rsidRPr="004E06F7">
        <w:rPr>
          <w:rFonts w:ascii="Arial Narrow" w:hAnsi="Arial Narrow"/>
          <w:color w:val="000000" w:themeColor="text1"/>
        </w:rPr>
        <w:t>Presented by:</w:t>
      </w:r>
    </w:p>
    <w:p w:rsidR="00376EF9" w:rsidRDefault="00376EF9" w:rsidP="004E06F7">
      <w:pPr>
        <w:jc w:val="center"/>
        <w:rPr>
          <w:rFonts w:ascii="Arial Narrow" w:hAnsi="Arial Narrow" w:cs="Calibri"/>
          <w:color w:val="000000" w:themeColor="text1"/>
        </w:rPr>
      </w:pPr>
      <w:r>
        <w:rPr>
          <w:rFonts w:ascii="Arial Narrow" w:hAnsi="Arial Narrow" w:cs="Calibri"/>
          <w:color w:val="000000" w:themeColor="text1"/>
        </w:rPr>
        <w:t>William Butron, MD</w:t>
      </w:r>
    </w:p>
    <w:p w:rsidR="00376EF9" w:rsidRDefault="00376EF9" w:rsidP="004E06F7">
      <w:pPr>
        <w:jc w:val="center"/>
        <w:rPr>
          <w:rFonts w:ascii="Arial Narrow" w:hAnsi="Arial Narrow" w:cs="Calibri"/>
          <w:color w:val="000000" w:themeColor="text1"/>
        </w:rPr>
      </w:pPr>
      <w:r>
        <w:rPr>
          <w:rFonts w:ascii="Arial Narrow" w:hAnsi="Arial Narrow" w:cs="Calibri"/>
          <w:color w:val="000000" w:themeColor="text1"/>
        </w:rPr>
        <w:t>Program Director – Medicine-Pediatrics Residency</w:t>
      </w:r>
    </w:p>
    <w:p w:rsidR="004E06F7" w:rsidRPr="004E06F7" w:rsidRDefault="004E06F7" w:rsidP="004E06F7">
      <w:pPr>
        <w:jc w:val="center"/>
        <w:rPr>
          <w:rFonts w:ascii="Arial Narrow" w:hAnsi="Arial Narrow" w:cs="Calibri"/>
          <w:color w:val="000000" w:themeColor="text1"/>
        </w:rPr>
      </w:pPr>
      <w:r w:rsidRPr="004E06F7">
        <w:rPr>
          <w:rFonts w:ascii="Arial Narrow" w:hAnsi="Arial Narrow" w:cs="Calibri"/>
          <w:color w:val="000000" w:themeColor="text1"/>
        </w:rPr>
        <w:t>Associate Professor of Pediatrics</w:t>
      </w:r>
    </w:p>
    <w:p w:rsidR="006C7764" w:rsidRPr="004E06F7" w:rsidRDefault="006C7764" w:rsidP="00FC431F">
      <w:pPr>
        <w:ind w:left="29"/>
        <w:jc w:val="center"/>
        <w:rPr>
          <w:rFonts w:ascii="Arial Narrow" w:hAnsi="Arial Narrow" w:cstheme="minorBidi"/>
          <w:b/>
          <w:color w:val="000000" w:themeColor="text1"/>
          <w:sz w:val="24"/>
          <w:szCs w:val="24"/>
        </w:rPr>
      </w:pPr>
      <w:r w:rsidRPr="004E06F7">
        <w:rPr>
          <w:rFonts w:ascii="Arial Narrow" w:hAnsi="Arial Narrow" w:cs="Open Sans"/>
          <w:b/>
          <w:color w:val="000000" w:themeColor="text1"/>
          <w:sz w:val="19"/>
          <w:szCs w:val="19"/>
          <w:shd w:val="clear" w:color="auto" w:fill="FFFFFF"/>
        </w:rPr>
        <w:t>Department of Pediatrics, University of Oklahoma</w:t>
      </w:r>
    </w:p>
    <w:p w:rsidR="00FC431F" w:rsidRPr="004E06F7" w:rsidRDefault="00FC431F" w:rsidP="00FC431F">
      <w:pPr>
        <w:ind w:left="29"/>
        <w:jc w:val="center"/>
        <w:rPr>
          <w:rFonts w:ascii="Arial Narrow" w:eastAsiaTheme="minorEastAsia" w:hAnsi="Arial Narrow"/>
          <w:color w:val="000000" w:themeColor="text1"/>
        </w:rPr>
      </w:pPr>
    </w:p>
    <w:p w:rsidR="00FC431F" w:rsidRPr="004E06F7" w:rsidRDefault="00FC431F" w:rsidP="00977EB6">
      <w:pPr>
        <w:rPr>
          <w:rFonts w:ascii="Arial Narrow" w:hAnsi="Arial Narrow"/>
          <w:b/>
          <w:bCs/>
          <w:color w:val="000000" w:themeColor="text1"/>
        </w:rPr>
      </w:pPr>
    </w:p>
    <w:p w:rsidR="00FF152D" w:rsidRPr="004E06F7" w:rsidRDefault="00FF152D" w:rsidP="00FF152D">
      <w:pPr>
        <w:rPr>
          <w:rFonts w:ascii="Arial Narrow" w:eastAsia="Times New Roman" w:hAnsi="Arial Narrow" w:cs="Tahoma"/>
          <w:color w:val="000000" w:themeColor="text1"/>
          <w:sz w:val="20"/>
          <w:szCs w:val="20"/>
        </w:rPr>
      </w:pPr>
    </w:p>
    <w:p w:rsidR="00FF152D" w:rsidRPr="00062E36" w:rsidRDefault="00FF152D" w:rsidP="00FF152D">
      <w:pPr>
        <w:rPr>
          <w:rFonts w:ascii="Arial Narrow" w:eastAsia="Times New Roman" w:hAnsi="Arial Narrow" w:cs="Tahoma"/>
          <w:b/>
          <w:sz w:val="24"/>
          <w:szCs w:val="20"/>
        </w:rPr>
      </w:pPr>
      <w:r w:rsidRPr="00062E36">
        <w:rPr>
          <w:rFonts w:ascii="Arial Narrow" w:eastAsia="Times New Roman" w:hAnsi="Arial Narrow" w:cs="Tahoma"/>
          <w:b/>
          <w:sz w:val="24"/>
          <w:szCs w:val="20"/>
        </w:rPr>
        <w:t>Professional Practice Gap</w:t>
      </w:r>
    </w:p>
    <w:p w:rsidR="00FF152D" w:rsidRPr="00062E36" w:rsidRDefault="00C6309C" w:rsidP="00FF152D">
      <w:pPr>
        <w:rPr>
          <w:rFonts w:cs="Calibri"/>
        </w:rPr>
      </w:pPr>
      <w:r>
        <w:rPr>
          <w:rFonts w:cs="Calibri"/>
        </w:rPr>
        <w:t>I</w:t>
      </w:r>
      <w:r w:rsidR="00376EF9" w:rsidRPr="00062E36">
        <w:rPr>
          <w:rFonts w:cs="Calibri"/>
        </w:rPr>
        <w:t>t can be very challenging to make sure that all recommended monitoring and preventive care measures are met for children with complex medical conditions</w:t>
      </w:r>
    </w:p>
    <w:p w:rsidR="00376EF9" w:rsidRPr="00062E36" w:rsidRDefault="00376EF9" w:rsidP="00FF152D">
      <w:pPr>
        <w:rPr>
          <w:rFonts w:ascii="Arial Narrow" w:eastAsia="Times New Roman" w:hAnsi="Arial Narrow" w:cs="Tahoma"/>
          <w:sz w:val="20"/>
          <w:szCs w:val="20"/>
        </w:rPr>
      </w:pPr>
    </w:p>
    <w:p w:rsidR="004E06F7" w:rsidRPr="00062E36" w:rsidRDefault="00FF152D" w:rsidP="004E06F7">
      <w:pPr>
        <w:rPr>
          <w:rFonts w:ascii="Arial Narrow" w:eastAsia="Times New Roman" w:hAnsi="Arial Narrow" w:cs="Tahoma"/>
          <w:sz w:val="20"/>
          <w:szCs w:val="20"/>
        </w:rPr>
      </w:pPr>
      <w:r w:rsidRPr="00062E36">
        <w:rPr>
          <w:rFonts w:ascii="Arial Narrow" w:eastAsia="Times New Roman" w:hAnsi="Arial Narrow" w:cs="Tahoma"/>
          <w:b/>
          <w:sz w:val="24"/>
          <w:szCs w:val="20"/>
        </w:rPr>
        <w:t>Learning objectives</w:t>
      </w:r>
      <w:r w:rsidR="00FD2EC0" w:rsidRPr="00062E36">
        <w:rPr>
          <w:rFonts w:ascii="Arial Narrow" w:eastAsia="Times New Roman" w:hAnsi="Arial Narrow" w:cs="Tahoma"/>
          <w:b/>
          <w:sz w:val="24"/>
          <w:szCs w:val="20"/>
        </w:rPr>
        <w:t xml:space="preserve"> - </w:t>
      </w:r>
      <w:r w:rsidR="00FD2EC0" w:rsidRPr="00062E36">
        <w:rPr>
          <w:rFonts w:ascii="Arial Narrow" w:eastAsia="Times New Roman" w:hAnsi="Arial Narrow" w:cs="Tahoma"/>
          <w:sz w:val="20"/>
          <w:szCs w:val="20"/>
        </w:rPr>
        <w:t>Upon completion of this session, participants will improve their competence and performance by being able to:</w:t>
      </w:r>
    </w:p>
    <w:p w:rsidR="00376EF9" w:rsidRPr="00062E36" w:rsidRDefault="00EB52C1" w:rsidP="00376EF9">
      <w:pPr>
        <w:pStyle w:val="ListParagraph"/>
        <w:numPr>
          <w:ilvl w:val="0"/>
          <w:numId w:val="10"/>
        </w:numPr>
        <w:rPr>
          <w:rFonts w:cs="Calibri"/>
        </w:rPr>
      </w:pPr>
      <w:r>
        <w:rPr>
          <w:rFonts w:cs="Calibri"/>
        </w:rPr>
        <w:t xml:space="preserve">Identify and </w:t>
      </w:r>
      <w:r w:rsidR="00376EF9" w:rsidRPr="00062E36">
        <w:rPr>
          <w:rFonts w:cs="Calibri"/>
        </w:rPr>
        <w:t xml:space="preserve">close gaps in care for pediatric patients with complex medical conditions </w:t>
      </w:r>
      <w:r w:rsidR="00C6309C" w:rsidRPr="00062E36">
        <w:rPr>
          <w:rFonts w:cs="Calibri"/>
        </w:rPr>
        <w:t>including</w:t>
      </w:r>
      <w:r w:rsidR="00376EF9" w:rsidRPr="00062E36">
        <w:rPr>
          <w:rFonts w:cs="Calibri"/>
        </w:rPr>
        <w:t xml:space="preserve"> Spina Bifida, Down Syndrome, childhood cancer survivors, sickle cell disease.  </w:t>
      </w:r>
    </w:p>
    <w:p w:rsidR="00376EF9" w:rsidRPr="00062E36" w:rsidRDefault="00376EF9" w:rsidP="00376EF9">
      <w:pPr>
        <w:pStyle w:val="ListParagraph"/>
        <w:numPr>
          <w:ilvl w:val="0"/>
          <w:numId w:val="10"/>
        </w:numPr>
        <w:rPr>
          <w:rFonts w:cs="Calibri"/>
        </w:rPr>
      </w:pPr>
      <w:r w:rsidRPr="00062E36">
        <w:rPr>
          <w:rFonts w:cs="Calibri"/>
        </w:rPr>
        <w:t xml:space="preserve">Improve knowledge about available resources for caring for children with complex care needs.  </w:t>
      </w:r>
    </w:p>
    <w:p w:rsidR="00376EF9" w:rsidRPr="00062E36" w:rsidRDefault="00EB52C1" w:rsidP="00376EF9">
      <w:pPr>
        <w:pStyle w:val="ListParagraph"/>
        <w:numPr>
          <w:ilvl w:val="0"/>
          <w:numId w:val="10"/>
        </w:numPr>
        <w:rPr>
          <w:rFonts w:cs="Calibri"/>
        </w:rPr>
      </w:pPr>
      <w:r>
        <w:rPr>
          <w:rFonts w:cs="Calibri"/>
        </w:rPr>
        <w:t>P</w:t>
      </w:r>
      <w:r w:rsidR="00376EF9" w:rsidRPr="00062E36">
        <w:rPr>
          <w:rFonts w:cs="Calibri"/>
        </w:rPr>
        <w:t xml:space="preserve">repare to transition the patients as they get older. </w:t>
      </w:r>
    </w:p>
    <w:p w:rsidR="00FF152D" w:rsidRPr="00062E36" w:rsidRDefault="00FF152D" w:rsidP="00FF152D">
      <w:pPr>
        <w:rPr>
          <w:rFonts w:ascii="Arial Narrow" w:eastAsia="Times New Roman" w:hAnsi="Arial Narrow" w:cs="Tahoma"/>
          <w:sz w:val="20"/>
          <w:szCs w:val="20"/>
        </w:rPr>
      </w:pPr>
    </w:p>
    <w:p w:rsidR="00355683" w:rsidRPr="00062E36" w:rsidRDefault="00884FE8" w:rsidP="00355683">
      <w:pPr>
        <w:rPr>
          <w:rFonts w:ascii="Arial Narrow" w:hAnsi="Arial Narrow"/>
          <w:highlight w:val="yellow"/>
        </w:rPr>
      </w:pPr>
      <w:r w:rsidRPr="00062E36">
        <w:rPr>
          <w:rFonts w:ascii="Arial Narrow" w:hAnsi="Arial Narrow"/>
          <w:b/>
          <w:bCs/>
        </w:rPr>
        <w:t xml:space="preserve">Nondiscrimination Statement: </w:t>
      </w:r>
      <w:r w:rsidR="00BB46E7" w:rsidRPr="00062E36">
        <w:rPr>
          <w:rFonts w:ascii="Arial Narrow" w:hAnsi="Arial Narrow" w:cs="Tahoma"/>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scrawford@ou.edu, or visit www.ou.edu/eoo.html.</w:t>
      </w:r>
      <w:r w:rsidR="00355683" w:rsidRPr="00062E36">
        <w:rPr>
          <w:rFonts w:ascii="Arial Narrow" w:hAnsi="Arial Narrow"/>
          <w:highlight w:val="yellow"/>
        </w:rPr>
        <w:t xml:space="preserve"> </w:t>
      </w:r>
    </w:p>
    <w:p w:rsidR="00355683" w:rsidRPr="00062E36" w:rsidRDefault="00355683" w:rsidP="00977EB6">
      <w:pPr>
        <w:rPr>
          <w:rFonts w:ascii="Arial Narrow" w:hAnsi="Arial Narrow"/>
          <w:highlight w:val="yellow"/>
        </w:rPr>
      </w:pPr>
    </w:p>
    <w:p w:rsidR="00884FE8" w:rsidRPr="00062E36" w:rsidRDefault="00884FE8" w:rsidP="00977EB6">
      <w:pPr>
        <w:rPr>
          <w:rFonts w:ascii="Arial Narrow" w:hAnsi="Arial Narrow"/>
        </w:rPr>
      </w:pPr>
      <w:r w:rsidRPr="00062E36">
        <w:rPr>
          <w:rFonts w:ascii="Arial Narrow" w:hAnsi="Arial Narrow"/>
          <w:b/>
          <w:bCs/>
        </w:rPr>
        <w:t>Accommodation Statement:</w:t>
      </w:r>
      <w:r w:rsidRPr="00062E36">
        <w:rPr>
          <w:rFonts w:ascii="Arial Narrow" w:hAnsi="Arial Narrow"/>
        </w:rPr>
        <w:t> </w:t>
      </w:r>
      <w:r w:rsidR="00C007BD" w:rsidRPr="00062E36">
        <w:rPr>
          <w:rFonts w:ascii="Arial Narrow" w:hAnsi="Arial Narrow"/>
        </w:rPr>
        <w:t>For accommodations, please</w:t>
      </w:r>
      <w:r w:rsidR="00896743" w:rsidRPr="00062E36">
        <w:rPr>
          <w:rFonts w:ascii="Arial Narrow" w:hAnsi="Arial Narrow"/>
        </w:rPr>
        <w:t xml:space="preserve"> contact </w:t>
      </w:r>
      <w:r w:rsidR="008C0275" w:rsidRPr="00062E36">
        <w:rPr>
          <w:rFonts w:ascii="Arial Narrow" w:hAnsi="Arial Narrow"/>
        </w:rPr>
        <w:t>(Name) at (phone number and/or emai</w:t>
      </w:r>
      <w:r w:rsidR="00B26176" w:rsidRPr="00062E36">
        <w:rPr>
          <w:rFonts w:ascii="Arial Narrow" w:hAnsi="Arial Narrow"/>
        </w:rPr>
        <w:t>l</w:t>
      </w:r>
      <w:r w:rsidR="008C0275" w:rsidRPr="00062E36">
        <w:rPr>
          <w:rFonts w:ascii="Arial Narrow" w:hAnsi="Arial Narrow"/>
        </w:rPr>
        <w:t>)</w:t>
      </w:r>
      <w:r w:rsidR="00896743" w:rsidRPr="00062E36">
        <w:rPr>
          <w:rFonts w:ascii="Arial Narrow" w:hAnsi="Arial Narrow"/>
        </w:rPr>
        <w:t>.</w:t>
      </w:r>
    </w:p>
    <w:p w:rsidR="00896743" w:rsidRPr="00062E36" w:rsidRDefault="00896743" w:rsidP="00977EB6">
      <w:pPr>
        <w:rPr>
          <w:rFonts w:ascii="Arial Narrow" w:hAnsi="Arial Narrow"/>
          <w:b/>
          <w:bCs/>
        </w:rPr>
      </w:pPr>
    </w:p>
    <w:p w:rsidR="00884FE8" w:rsidRPr="00062E36" w:rsidRDefault="00884FE8" w:rsidP="00977EB6">
      <w:pPr>
        <w:rPr>
          <w:rFonts w:ascii="Arial Narrow" w:hAnsi="Arial Narrow"/>
        </w:rPr>
      </w:pPr>
      <w:r w:rsidRPr="00062E36">
        <w:rPr>
          <w:rFonts w:ascii="Arial Narrow" w:hAnsi="Arial Narrow"/>
          <w:b/>
          <w:bCs/>
        </w:rPr>
        <w:t>Disclaimer Statement:</w:t>
      </w:r>
      <w:r w:rsidRPr="00062E36">
        <w:rPr>
          <w:rFonts w:ascii="Arial Narrow" w:hAnsi="Arial Narrow"/>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Pr="00062E36" w:rsidRDefault="00483DDC" w:rsidP="00977EB6">
      <w:pPr>
        <w:rPr>
          <w:rFonts w:ascii="Arial Narrow" w:hAnsi="Arial Narrow"/>
        </w:rPr>
      </w:pPr>
    </w:p>
    <w:p w:rsidR="00884FE8" w:rsidRPr="00062E36" w:rsidRDefault="00884FE8" w:rsidP="00977EB6">
      <w:pPr>
        <w:rPr>
          <w:rFonts w:ascii="Arial Narrow" w:hAnsi="Arial Narrow"/>
        </w:rPr>
      </w:pPr>
      <w:r w:rsidRPr="00062E36">
        <w:rPr>
          <w:rFonts w:ascii="Arial Narrow" w:hAnsi="Arial Narrow"/>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062E36" w:rsidRDefault="00896743" w:rsidP="00977EB6">
      <w:pPr>
        <w:rPr>
          <w:rFonts w:ascii="Arial Narrow" w:hAnsi="Arial Narrow"/>
          <w:b/>
          <w:bCs/>
        </w:rPr>
      </w:pPr>
    </w:p>
    <w:p w:rsidR="008051FA" w:rsidRPr="00062E36" w:rsidRDefault="00884FE8">
      <w:pPr>
        <w:rPr>
          <w:rFonts w:ascii="Arial Narrow" w:hAnsi="Arial Narrow"/>
          <w:b/>
          <w:bCs/>
        </w:rPr>
      </w:pPr>
      <w:r w:rsidRPr="00062E36">
        <w:rPr>
          <w:rFonts w:ascii="Arial Narrow" w:hAnsi="Arial Narrow"/>
          <w:b/>
          <w:bCs/>
        </w:rPr>
        <w:t xml:space="preserve">Policy on </w:t>
      </w:r>
      <w:r w:rsidR="00165F69" w:rsidRPr="00062E36">
        <w:rPr>
          <w:rFonts w:ascii="Arial Narrow" w:hAnsi="Arial Narrow"/>
          <w:b/>
          <w:bCs/>
        </w:rPr>
        <w:t>Planner</w:t>
      </w:r>
      <w:r w:rsidRPr="00062E36">
        <w:rPr>
          <w:rFonts w:ascii="Arial Narrow" w:hAnsi="Arial Narrow"/>
          <w:b/>
          <w:bCs/>
        </w:rPr>
        <w:t xml:space="preserve"> and Presenter Disclosure:</w:t>
      </w:r>
      <w:r w:rsidRPr="00062E36">
        <w:rPr>
          <w:rFonts w:ascii="Arial Narrow" w:hAnsi="Arial Narrow"/>
        </w:rPr>
        <w:t xml:space="preserve"> It is the policy of the University of Oklahoma College of Medicine that the faculty and presenters </w:t>
      </w:r>
      <w:r w:rsidR="00A53DE7" w:rsidRPr="00062E36">
        <w:rPr>
          <w:rFonts w:ascii="Arial Narrow" w:hAnsi="Arial Narrow"/>
        </w:rPr>
        <w:t xml:space="preserve">identify </w:t>
      </w:r>
      <w:r w:rsidR="00165F69" w:rsidRPr="00062E36">
        <w:rPr>
          <w:rFonts w:ascii="Arial Narrow" w:hAnsi="Arial Narrow"/>
        </w:rPr>
        <w:t>all</w:t>
      </w:r>
      <w:r w:rsidR="003C691A" w:rsidRPr="00062E36">
        <w:rPr>
          <w:rFonts w:ascii="Arial Narrow" w:hAnsi="Arial Narrow"/>
        </w:rPr>
        <w:t xml:space="preserve"> financial relationships with</w:t>
      </w:r>
      <w:r w:rsidR="00A53DE7" w:rsidRPr="00062E36">
        <w:rPr>
          <w:rFonts w:ascii="Arial Narrow" w:hAnsi="Arial Narrow"/>
        </w:rPr>
        <w:t xml:space="preserve"> ineligible companies</w:t>
      </w:r>
      <w:r w:rsidRPr="00062E36">
        <w:rPr>
          <w:rFonts w:ascii="Arial Narrow" w:hAnsi="Arial Narrow"/>
        </w:rPr>
        <w:t xml:space="preserve"> relating to the topics of this educational activity, and also discloses discussions of </w:t>
      </w:r>
      <w:r w:rsidR="00165F69" w:rsidRPr="00062E36">
        <w:rPr>
          <w:rFonts w:ascii="Arial Narrow" w:hAnsi="Arial Narrow"/>
        </w:rPr>
        <w:t xml:space="preserve">off-label or investigational drugs/devices and/or therapies </w:t>
      </w:r>
      <w:r w:rsidRPr="00062E36">
        <w:rPr>
          <w:rFonts w:ascii="Arial Narrow" w:hAnsi="Arial Narrow"/>
        </w:rPr>
        <w:t xml:space="preserve">during their presentation(s). </w:t>
      </w:r>
    </w:p>
    <w:p w:rsidR="00A53DE7" w:rsidRPr="00062E36" w:rsidRDefault="00A53DE7" w:rsidP="00977EB6">
      <w:pPr>
        <w:rPr>
          <w:rFonts w:ascii="Arial Narrow" w:hAnsi="Arial Narrow"/>
        </w:rPr>
      </w:pPr>
    </w:p>
    <w:p w:rsidR="00062344" w:rsidRPr="00062E36" w:rsidRDefault="00062344" w:rsidP="00062344">
      <w:pPr>
        <w:rPr>
          <w:rFonts w:ascii="Arial Narrow" w:hAnsi="Arial Narrow"/>
        </w:rPr>
      </w:pPr>
      <w:r w:rsidRPr="00062E36">
        <w:rPr>
          <w:rFonts w:ascii="Arial Narrow" w:hAnsi="Arial Narrow"/>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062344" w:rsidRPr="004E06F7" w:rsidRDefault="00062344" w:rsidP="00062344">
      <w:pPr>
        <w:rPr>
          <w:rFonts w:ascii="Arial Narrow" w:hAnsi="Arial Narrow"/>
          <w:b/>
          <w:bCs/>
          <w:color w:val="000000" w:themeColor="text1"/>
        </w:rPr>
      </w:pPr>
    </w:p>
    <w:p w:rsidR="00062344" w:rsidRPr="004E06F7" w:rsidRDefault="00062344" w:rsidP="00062344">
      <w:pPr>
        <w:rPr>
          <w:rFonts w:ascii="Arial Narrow" w:hAnsi="Arial Narrow"/>
          <w:color w:val="000000" w:themeColor="text1"/>
        </w:rPr>
      </w:pPr>
      <w:r w:rsidRPr="004E06F7">
        <w:rPr>
          <w:rFonts w:ascii="Arial Narrow" w:hAnsi="Arial Narrow"/>
          <w:b/>
          <w:bCs/>
          <w:color w:val="000000" w:themeColor="text1"/>
        </w:rPr>
        <w:t>Policy on Planner and Presenter Disclosure:</w:t>
      </w:r>
      <w:r w:rsidRPr="004E06F7">
        <w:rPr>
          <w:rFonts w:ascii="Arial Narrow" w:hAnsi="Arial Narrow"/>
          <w:color w:val="000000" w:themeColor="text1"/>
        </w:rPr>
        <w:t xml:space="preserve"> 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062344" w:rsidRPr="004E06F7" w:rsidRDefault="00062344" w:rsidP="00062344">
      <w:pPr>
        <w:rPr>
          <w:rFonts w:ascii="Arial Narrow" w:hAnsi="Arial Narrow"/>
          <w:b/>
          <w:bCs/>
          <w:color w:val="000000" w:themeColor="text1"/>
        </w:rPr>
      </w:pPr>
    </w:p>
    <w:p w:rsidR="00062344" w:rsidRPr="004E06F7" w:rsidRDefault="00062344" w:rsidP="00062344">
      <w:pPr>
        <w:shd w:val="clear" w:color="auto" w:fill="FFFFFF"/>
        <w:rPr>
          <w:rFonts w:ascii="Arial Narrow" w:hAnsi="Arial Narrow"/>
          <w:color w:val="000000" w:themeColor="text1"/>
        </w:rPr>
      </w:pPr>
      <w:r w:rsidRPr="004E06F7">
        <w:rPr>
          <w:rFonts w:ascii="Arial Narrow" w:hAnsi="Arial Narrow"/>
          <w:b/>
          <w:bCs/>
          <w:color w:val="000000" w:themeColor="text1"/>
        </w:rPr>
        <w:t>Acknowledgement of Commercial and In-Kind Support:</w:t>
      </w:r>
      <w:r w:rsidRPr="004E06F7">
        <w:rPr>
          <w:rFonts w:ascii="Arial Narrow" w:hAnsi="Arial Narrow"/>
          <w:color w:val="000000" w:themeColor="text1"/>
        </w:rPr>
        <w:t xml:space="preserve"> </w:t>
      </w:r>
      <w:r w:rsidRPr="004E06F7">
        <w:rPr>
          <w:rFonts w:ascii="Arial Narrow" w:hAnsi="Arial Narrow"/>
          <w:b/>
          <w:bCs/>
          <w:color w:val="000000" w:themeColor="text1"/>
          <w:szCs w:val="24"/>
        </w:rPr>
        <w:t>Commercial support</w:t>
      </w:r>
      <w:r w:rsidRPr="004E06F7">
        <w:rPr>
          <w:rFonts w:ascii="Arial Narrow" w:hAnsi="Arial Narrow"/>
          <w:color w:val="000000" w:themeColor="text1"/>
          <w:szCs w:val="24"/>
        </w:rPr>
        <w:t xml:space="preserve"> is financial, or in-kind, contributions given by an ineligible company, which is used to pay all or part of the costs of a CME activity.  An ineligible company is any company </w:t>
      </w:r>
      <w:r w:rsidRPr="004E06F7">
        <w:rPr>
          <w:rFonts w:ascii="Arial Narrow" w:hAnsi="Arial Narrow"/>
          <w:color w:val="000000" w:themeColor="text1"/>
        </w:rPr>
        <w:t xml:space="preserve">whose primary business is producing, marketing, selling, re-selling, or distributing healthcare products used by or on patients.  </w:t>
      </w:r>
    </w:p>
    <w:p w:rsidR="00062344" w:rsidRPr="004E06F7" w:rsidRDefault="00062344" w:rsidP="00062344">
      <w:pPr>
        <w:shd w:val="clear" w:color="auto" w:fill="FFFFFF"/>
        <w:rPr>
          <w:rFonts w:ascii="Arial Narrow" w:hAnsi="Arial Narrow"/>
          <w:color w:val="000000" w:themeColor="text1"/>
        </w:rPr>
      </w:pPr>
      <w:r w:rsidRPr="004E06F7">
        <w:rPr>
          <w:rFonts w:ascii="Arial Narrow" w:hAnsi="Arial Narrow"/>
          <w:color w:val="000000" w:themeColor="text1"/>
        </w:rPr>
        <w:t>This activity received no commercial or in-kind support.</w:t>
      </w:r>
    </w:p>
    <w:p w:rsidR="00062344" w:rsidRPr="004E06F7" w:rsidRDefault="00062344" w:rsidP="00062344">
      <w:pPr>
        <w:rPr>
          <w:rFonts w:ascii="Arial Narrow" w:hAnsi="Arial Narrow"/>
          <w:b/>
          <w:bCs/>
          <w:color w:val="000000" w:themeColor="text1"/>
        </w:rPr>
      </w:pPr>
    </w:p>
    <w:p w:rsidR="00062344" w:rsidRPr="004E06F7" w:rsidRDefault="00062344" w:rsidP="00062344">
      <w:pPr>
        <w:jc w:val="center"/>
        <w:rPr>
          <w:rFonts w:ascii="Arial Narrow" w:hAnsi="Arial Narrow"/>
          <w:b/>
          <w:bCs/>
          <w:color w:val="000000" w:themeColor="text1"/>
        </w:rPr>
      </w:pPr>
      <w:r w:rsidRPr="004E06F7">
        <w:rPr>
          <w:rFonts w:ascii="Arial Narrow" w:hAnsi="Arial Narrow"/>
          <w:b/>
          <w:bCs/>
          <w:color w:val="000000" w:themeColor="text1"/>
        </w:rPr>
        <w:t>Disclosure &amp; Mitigation Report</w:t>
      </w:r>
    </w:p>
    <w:p w:rsidR="00062344" w:rsidRPr="004E06F7" w:rsidRDefault="00062344" w:rsidP="00062344">
      <w:pPr>
        <w:rPr>
          <w:rFonts w:ascii="Arial Narrow" w:hAnsi="Arial Narrow"/>
          <w:b/>
          <w:bCs/>
          <w:color w:val="000000" w:themeColor="text1"/>
        </w:rPr>
      </w:pPr>
      <w:r w:rsidRPr="004E06F7">
        <w:rPr>
          <w:rFonts w:ascii="Arial Narrow" w:hAnsi="Arial Narrow"/>
          <w:color w:val="000000" w:themeColor="text1"/>
          <w:sz w:val="20"/>
          <w:szCs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062344" w:rsidRPr="004E06F7" w:rsidRDefault="00062344" w:rsidP="00062344">
      <w:pPr>
        <w:rPr>
          <w:rFonts w:ascii="Arial Narrow" w:hAnsi="Arial Narrow"/>
          <w:color w:val="000000" w:themeColor="text1"/>
        </w:rPr>
      </w:pPr>
    </w:p>
    <w:tbl>
      <w:tblPr>
        <w:tblW w:w="11250" w:type="dxa"/>
        <w:tblLayout w:type="fixed"/>
        <w:tblCellMar>
          <w:left w:w="0" w:type="dxa"/>
          <w:right w:w="0" w:type="dxa"/>
        </w:tblCellMar>
        <w:tblLook w:val="04A0" w:firstRow="1" w:lastRow="0" w:firstColumn="1" w:lastColumn="0" w:noHBand="0" w:noVBand="1"/>
      </w:tblPr>
      <w:tblGrid>
        <w:gridCol w:w="1710"/>
        <w:gridCol w:w="1350"/>
        <w:gridCol w:w="2070"/>
        <w:gridCol w:w="1980"/>
        <w:gridCol w:w="2250"/>
        <w:gridCol w:w="1890"/>
      </w:tblGrid>
      <w:tr w:rsidR="004E06F7" w:rsidRPr="004E06F7" w:rsidTr="00897DD7">
        <w:trPr>
          <w:trHeight w:val="284"/>
          <w:tblHeader/>
        </w:trPr>
        <w:tc>
          <w:tcPr>
            <w:tcW w:w="5130" w:type="dxa"/>
            <w:gridSpan w:val="3"/>
            <w:tcBorders>
              <w:top w:val="nil"/>
              <w:left w:val="nil"/>
              <w:bottom w:val="single" w:sz="4" w:space="0" w:color="auto"/>
              <w:right w:val="single" w:sz="4" w:space="0" w:color="auto"/>
            </w:tcBorders>
            <w:tcMar>
              <w:top w:w="0" w:type="dxa"/>
              <w:left w:w="108" w:type="dxa"/>
              <w:bottom w:w="0" w:type="dxa"/>
              <w:right w:w="108" w:type="dxa"/>
            </w:tcMar>
            <w:vAlign w:val="bottom"/>
            <w:hideMark/>
          </w:tcPr>
          <w:p w:rsidR="00062344" w:rsidRPr="004E06F7" w:rsidRDefault="00062344" w:rsidP="00897DD7">
            <w:pPr>
              <w:ind w:left="360"/>
              <w:jc w:val="cente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 </w:t>
            </w:r>
          </w:p>
        </w:tc>
        <w:tc>
          <w:tcPr>
            <w:tcW w:w="6120"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b/>
                <w:bCs/>
                <w:color w:val="000000" w:themeColor="text1"/>
                <w:sz w:val="20"/>
                <w:szCs w:val="20"/>
              </w:rPr>
            </w:pPr>
            <w:r w:rsidRPr="004E06F7">
              <w:rPr>
                <w:rFonts w:ascii="Arial Narrow" w:hAnsi="Arial Narrow" w:cstheme="minorHAnsi"/>
                <w:b/>
                <w:bCs/>
                <w:color w:val="000000" w:themeColor="text1"/>
                <w:sz w:val="20"/>
                <w:szCs w:val="20"/>
              </w:rPr>
              <w:t>Nature of  Financial Relationship</w:t>
            </w:r>
          </w:p>
        </w:tc>
      </w:tr>
      <w:tr w:rsidR="004E06F7" w:rsidRPr="004E06F7" w:rsidTr="00897DD7">
        <w:trPr>
          <w:trHeight w:val="284"/>
        </w:trPr>
        <w:tc>
          <w:tcPr>
            <w:tcW w:w="171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Role</w:t>
            </w:r>
          </w:p>
        </w:tc>
        <w:tc>
          <w:tcPr>
            <w:tcW w:w="135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First Name</w:t>
            </w:r>
          </w:p>
        </w:tc>
        <w:tc>
          <w:tcPr>
            <w:tcW w:w="2070" w:type="dxa"/>
            <w:tcBorders>
              <w:top w:val="nil"/>
              <w:left w:val="nil"/>
              <w:bottom w:val="single" w:sz="8"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Last Name</w:t>
            </w:r>
          </w:p>
        </w:tc>
        <w:tc>
          <w:tcPr>
            <w:tcW w:w="198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Ineligible Company</w:t>
            </w:r>
          </w:p>
        </w:tc>
        <w:tc>
          <w:tcPr>
            <w:tcW w:w="225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What was received?</w:t>
            </w:r>
          </w:p>
        </w:tc>
        <w:tc>
          <w:tcPr>
            <w:tcW w:w="1890" w:type="dxa"/>
            <w:tcBorders>
              <w:top w:val="single" w:sz="4" w:space="0" w:color="auto"/>
              <w:left w:val="single" w:sz="4" w:space="0" w:color="auto"/>
              <w:bottom w:val="single" w:sz="4" w:space="0" w:color="auto"/>
              <w:right w:val="single" w:sz="4" w:space="0" w:color="auto"/>
            </w:tcBorders>
            <w:shd w:val="clear" w:color="auto" w:fill="C0C0C0"/>
            <w:noWrap/>
            <w:tcMar>
              <w:top w:w="0" w:type="dxa"/>
              <w:left w:w="108" w:type="dxa"/>
              <w:bottom w:w="0" w:type="dxa"/>
              <w:right w:w="108" w:type="dxa"/>
            </w:tcMar>
            <w:vAlign w:val="bottom"/>
            <w:hideMark/>
          </w:tcPr>
          <w:p w:rsidR="00062344" w:rsidRPr="004E06F7" w:rsidRDefault="00062344" w:rsidP="00897DD7">
            <w:pPr>
              <w:jc w:val="center"/>
              <w:rPr>
                <w:rFonts w:ascii="Arial Narrow" w:hAnsi="Arial Narrow" w:cstheme="minorHAnsi"/>
                <w:color w:val="000000" w:themeColor="text1"/>
                <w:sz w:val="20"/>
                <w:szCs w:val="20"/>
              </w:rPr>
            </w:pPr>
            <w:r w:rsidRPr="004E06F7">
              <w:rPr>
                <w:rFonts w:ascii="Arial Narrow" w:hAnsi="Arial Narrow" w:cstheme="minorHAnsi"/>
                <w:b/>
                <w:bCs/>
                <w:color w:val="000000" w:themeColor="text1"/>
                <w:sz w:val="20"/>
                <w:szCs w:val="20"/>
              </w:rPr>
              <w:t>For what role?</w:t>
            </w:r>
          </w:p>
        </w:tc>
      </w:tr>
      <w:tr w:rsidR="004E06F7" w:rsidRPr="004E06F7" w:rsidTr="00897DD7">
        <w:trPr>
          <w:trHeight w:val="388"/>
        </w:trPr>
        <w:tc>
          <w:tcPr>
            <w:tcW w:w="1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Presenter</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376EF9" w:rsidP="00062344">
            <w:pPr>
              <w:rPr>
                <w:rFonts w:ascii="Arial Narrow" w:hAnsi="Arial Narrow"/>
                <w:bCs/>
                <w:color w:val="000000" w:themeColor="text1"/>
              </w:rPr>
            </w:pPr>
            <w:r>
              <w:rPr>
                <w:rFonts w:ascii="Arial Narrow" w:hAnsi="Arial Narrow"/>
                <w:bCs/>
                <w:color w:val="000000" w:themeColor="text1"/>
              </w:rPr>
              <w:t>William D.</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376EF9" w:rsidP="00062344">
            <w:pPr>
              <w:rPr>
                <w:rFonts w:ascii="Arial Narrow" w:hAnsi="Arial Narrow"/>
                <w:bCs/>
                <w:color w:val="000000" w:themeColor="text1"/>
              </w:rPr>
            </w:pPr>
            <w:r>
              <w:rPr>
                <w:rFonts w:ascii="Arial Narrow" w:hAnsi="Arial Narrow"/>
                <w:bCs/>
                <w:color w:val="000000" w:themeColor="text1"/>
              </w:rPr>
              <w:t>Butron</w:t>
            </w:r>
            <w:r w:rsidR="00062344" w:rsidRPr="004E06F7">
              <w:rPr>
                <w:rFonts w:ascii="Arial Narrow" w:hAnsi="Arial Narrow"/>
                <w:bCs/>
                <w:color w:val="000000" w:themeColor="text1"/>
              </w:rPr>
              <w:t>, MD</w:t>
            </w:r>
          </w:p>
        </w:tc>
        <w:tc>
          <w:tcPr>
            <w:tcW w:w="61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r w:rsidR="004E06F7" w:rsidRPr="004E06F7" w:rsidTr="00897DD7">
        <w:trPr>
          <w:trHeight w:val="388"/>
        </w:trPr>
        <w:tc>
          <w:tcPr>
            <w:tcW w:w="1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 xml:space="preserve">Planning Member </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Michelle K.</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Escala, MD</w:t>
            </w:r>
          </w:p>
        </w:tc>
        <w:tc>
          <w:tcPr>
            <w:tcW w:w="61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r w:rsidR="004E06F7" w:rsidRPr="004E06F7" w:rsidTr="00897DD7">
        <w:trPr>
          <w:trHeight w:val="388"/>
        </w:trPr>
        <w:tc>
          <w:tcPr>
            <w:tcW w:w="17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Course Contact</w:t>
            </w:r>
          </w:p>
        </w:tc>
        <w:tc>
          <w:tcPr>
            <w:tcW w:w="13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Sheryl K.</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Hayes</w:t>
            </w:r>
          </w:p>
        </w:tc>
        <w:tc>
          <w:tcPr>
            <w:tcW w:w="61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r w:rsidR="00062344" w:rsidRPr="004E06F7" w:rsidTr="00897DD7">
        <w:trPr>
          <w:trHeight w:val="471"/>
        </w:trPr>
        <w:tc>
          <w:tcPr>
            <w:tcW w:w="17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 xml:space="preserve">Planning Member </w:t>
            </w:r>
          </w:p>
        </w:tc>
        <w:tc>
          <w:tcPr>
            <w:tcW w:w="13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Keith D.</w:t>
            </w:r>
          </w:p>
        </w:tc>
        <w:tc>
          <w:tcPr>
            <w:tcW w:w="20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stheme="minorHAnsi"/>
                <w:color w:val="000000" w:themeColor="text1"/>
                <w:sz w:val="20"/>
                <w:szCs w:val="20"/>
              </w:rPr>
            </w:pPr>
            <w:r w:rsidRPr="004E06F7">
              <w:rPr>
                <w:rFonts w:ascii="Arial Narrow" w:hAnsi="Arial Narrow" w:cstheme="minorHAnsi"/>
                <w:color w:val="000000" w:themeColor="text1"/>
                <w:sz w:val="20"/>
                <w:szCs w:val="20"/>
              </w:rPr>
              <w:t>Mather, MD</w:t>
            </w:r>
          </w:p>
        </w:tc>
        <w:tc>
          <w:tcPr>
            <w:tcW w:w="6120"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62344" w:rsidRPr="004E06F7" w:rsidRDefault="00062344" w:rsidP="00062344">
            <w:pPr>
              <w:rPr>
                <w:rFonts w:ascii="Arial Narrow" w:hAnsi="Arial Narrow"/>
                <w:color w:val="000000" w:themeColor="text1"/>
                <w:sz w:val="20"/>
                <w:szCs w:val="20"/>
              </w:rPr>
            </w:pPr>
            <w:r w:rsidRPr="004E06F7">
              <w:rPr>
                <w:rFonts w:ascii="Arial Narrow" w:hAnsi="Arial Narrow"/>
                <w:color w:val="000000" w:themeColor="text1"/>
                <w:sz w:val="20"/>
                <w:szCs w:val="20"/>
              </w:rPr>
              <w:t>I have no financial relationships or affiliations with ineligible companies to disclose.</w:t>
            </w:r>
          </w:p>
        </w:tc>
      </w:tr>
    </w:tbl>
    <w:p w:rsidR="00062344" w:rsidRPr="004E06F7" w:rsidRDefault="00062344" w:rsidP="00062344">
      <w:pPr>
        <w:rPr>
          <w:rFonts w:ascii="Arial Narrow" w:hAnsi="Arial Narrow"/>
          <w:color w:val="000000" w:themeColor="text1"/>
        </w:rPr>
      </w:pPr>
    </w:p>
    <w:p w:rsidR="00062344" w:rsidRPr="004E06F7" w:rsidRDefault="00062344" w:rsidP="00062344">
      <w:pPr>
        <w:rPr>
          <w:rFonts w:ascii="Arial Narrow" w:hAnsi="Arial Narrow"/>
          <w:color w:val="000000" w:themeColor="text1"/>
        </w:rPr>
      </w:pPr>
    </w:p>
    <w:p w:rsidR="00062344" w:rsidRPr="004E06F7" w:rsidRDefault="00062344" w:rsidP="00062344">
      <w:pPr>
        <w:rPr>
          <w:rFonts w:ascii="Arial Narrow" w:hAnsi="Arial Narrow"/>
          <w:color w:val="000000" w:themeColor="text1"/>
        </w:rPr>
      </w:pPr>
    </w:p>
    <w:p w:rsidR="00062344" w:rsidRPr="004E06F7" w:rsidRDefault="00062344" w:rsidP="00977EB6">
      <w:pPr>
        <w:rPr>
          <w:rFonts w:ascii="Arial Narrow" w:hAnsi="Arial Narrow"/>
          <w:color w:val="000000" w:themeColor="text1"/>
        </w:rPr>
      </w:pPr>
    </w:p>
    <w:sectPr w:rsidR="00062344" w:rsidRPr="004E06F7" w:rsidSect="00884FE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DE"/>
    <w:multiLevelType w:val="hybridMultilevel"/>
    <w:tmpl w:val="7384E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180B"/>
    <w:multiLevelType w:val="hybridMultilevel"/>
    <w:tmpl w:val="2AC4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9"/>
    <w:multiLevelType w:val="hybridMultilevel"/>
    <w:tmpl w:val="7F6C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6165"/>
    <w:multiLevelType w:val="hybridMultilevel"/>
    <w:tmpl w:val="3DB4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2315A"/>
    <w:multiLevelType w:val="hybridMultilevel"/>
    <w:tmpl w:val="0FAA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DA22C81"/>
    <w:multiLevelType w:val="hybridMultilevel"/>
    <w:tmpl w:val="65E4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B3C49"/>
    <w:multiLevelType w:val="multilevel"/>
    <w:tmpl w:val="00F8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2"/>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62344"/>
    <w:rsid w:val="00062E36"/>
    <w:rsid w:val="000970B2"/>
    <w:rsid w:val="00102E3E"/>
    <w:rsid w:val="00122810"/>
    <w:rsid w:val="001376F1"/>
    <w:rsid w:val="00165F69"/>
    <w:rsid w:val="001A763F"/>
    <w:rsid w:val="001E4BF3"/>
    <w:rsid w:val="0021756A"/>
    <w:rsid w:val="002F4AB5"/>
    <w:rsid w:val="00340D52"/>
    <w:rsid w:val="00341461"/>
    <w:rsid w:val="00355683"/>
    <w:rsid w:val="003668B1"/>
    <w:rsid w:val="00376EF9"/>
    <w:rsid w:val="003C691A"/>
    <w:rsid w:val="003E1622"/>
    <w:rsid w:val="003F66FB"/>
    <w:rsid w:val="00483DDC"/>
    <w:rsid w:val="004C2A5E"/>
    <w:rsid w:val="004D536D"/>
    <w:rsid w:val="004E06F7"/>
    <w:rsid w:val="004F5896"/>
    <w:rsid w:val="005215E7"/>
    <w:rsid w:val="00532407"/>
    <w:rsid w:val="005F7A6E"/>
    <w:rsid w:val="00632E69"/>
    <w:rsid w:val="00650E06"/>
    <w:rsid w:val="006A2E9E"/>
    <w:rsid w:val="006A4239"/>
    <w:rsid w:val="006A7A62"/>
    <w:rsid w:val="006C2108"/>
    <w:rsid w:val="006C7764"/>
    <w:rsid w:val="00710A31"/>
    <w:rsid w:val="00720047"/>
    <w:rsid w:val="007203CC"/>
    <w:rsid w:val="00782689"/>
    <w:rsid w:val="00790F6B"/>
    <w:rsid w:val="008012BF"/>
    <w:rsid w:val="008051FA"/>
    <w:rsid w:val="00884FE8"/>
    <w:rsid w:val="00896743"/>
    <w:rsid w:val="008A6435"/>
    <w:rsid w:val="008C0275"/>
    <w:rsid w:val="00922708"/>
    <w:rsid w:val="00977EB6"/>
    <w:rsid w:val="009B0718"/>
    <w:rsid w:val="009B6304"/>
    <w:rsid w:val="009C3982"/>
    <w:rsid w:val="00A42CDD"/>
    <w:rsid w:val="00A50DAA"/>
    <w:rsid w:val="00A53DE7"/>
    <w:rsid w:val="00A8243C"/>
    <w:rsid w:val="00B1119F"/>
    <w:rsid w:val="00B26176"/>
    <w:rsid w:val="00B578B1"/>
    <w:rsid w:val="00B864E8"/>
    <w:rsid w:val="00B96582"/>
    <w:rsid w:val="00BB46E7"/>
    <w:rsid w:val="00BB496D"/>
    <w:rsid w:val="00BD0187"/>
    <w:rsid w:val="00C007BD"/>
    <w:rsid w:val="00C02746"/>
    <w:rsid w:val="00C6309C"/>
    <w:rsid w:val="00C74B49"/>
    <w:rsid w:val="00E125D3"/>
    <w:rsid w:val="00E6288E"/>
    <w:rsid w:val="00E848AC"/>
    <w:rsid w:val="00EB52C1"/>
    <w:rsid w:val="00EC577B"/>
    <w:rsid w:val="00EF34DC"/>
    <w:rsid w:val="00F41EB9"/>
    <w:rsid w:val="00FA73A0"/>
    <w:rsid w:val="00FB67C2"/>
    <w:rsid w:val="00FC431F"/>
    <w:rsid w:val="00FD2EC0"/>
    <w:rsid w:val="00FF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594359534">
      <w:bodyDiv w:val="1"/>
      <w:marLeft w:val="0"/>
      <w:marRight w:val="0"/>
      <w:marTop w:val="0"/>
      <w:marBottom w:val="0"/>
      <w:divBdr>
        <w:top w:val="none" w:sz="0" w:space="0" w:color="auto"/>
        <w:left w:val="none" w:sz="0" w:space="0" w:color="auto"/>
        <w:bottom w:val="none" w:sz="0" w:space="0" w:color="auto"/>
        <w:right w:val="none" w:sz="0" w:space="0" w:color="auto"/>
      </w:divBdr>
    </w:div>
    <w:div w:id="606276375">
      <w:bodyDiv w:val="1"/>
      <w:marLeft w:val="0"/>
      <w:marRight w:val="0"/>
      <w:marTop w:val="0"/>
      <w:marBottom w:val="0"/>
      <w:divBdr>
        <w:top w:val="none" w:sz="0" w:space="0" w:color="auto"/>
        <w:left w:val="none" w:sz="0" w:space="0" w:color="auto"/>
        <w:bottom w:val="none" w:sz="0" w:space="0" w:color="auto"/>
        <w:right w:val="none" w:sz="0" w:space="0" w:color="auto"/>
      </w:divBdr>
    </w:div>
    <w:div w:id="739062525">
      <w:bodyDiv w:val="1"/>
      <w:marLeft w:val="0"/>
      <w:marRight w:val="0"/>
      <w:marTop w:val="0"/>
      <w:marBottom w:val="0"/>
      <w:divBdr>
        <w:top w:val="none" w:sz="0" w:space="0" w:color="auto"/>
        <w:left w:val="none" w:sz="0" w:space="0" w:color="auto"/>
        <w:bottom w:val="none" w:sz="0" w:space="0" w:color="auto"/>
        <w:right w:val="none" w:sz="0" w:space="0" w:color="auto"/>
      </w:divBdr>
    </w:div>
    <w:div w:id="816796768">
      <w:bodyDiv w:val="1"/>
      <w:marLeft w:val="0"/>
      <w:marRight w:val="0"/>
      <w:marTop w:val="0"/>
      <w:marBottom w:val="0"/>
      <w:divBdr>
        <w:top w:val="none" w:sz="0" w:space="0" w:color="auto"/>
        <w:left w:val="none" w:sz="0" w:space="0" w:color="auto"/>
        <w:bottom w:val="none" w:sz="0" w:space="0" w:color="auto"/>
        <w:right w:val="none" w:sz="0" w:space="0" w:color="auto"/>
      </w:divBdr>
    </w:div>
    <w:div w:id="1447114551">
      <w:bodyDiv w:val="1"/>
      <w:marLeft w:val="0"/>
      <w:marRight w:val="0"/>
      <w:marTop w:val="0"/>
      <w:marBottom w:val="0"/>
      <w:divBdr>
        <w:top w:val="none" w:sz="0" w:space="0" w:color="auto"/>
        <w:left w:val="none" w:sz="0" w:space="0" w:color="auto"/>
        <w:bottom w:val="none" w:sz="0" w:space="0" w:color="auto"/>
        <w:right w:val="none" w:sz="0" w:space="0" w:color="auto"/>
      </w:divBdr>
    </w:div>
    <w:div w:id="1638336739">
      <w:bodyDiv w:val="1"/>
      <w:marLeft w:val="0"/>
      <w:marRight w:val="0"/>
      <w:marTop w:val="0"/>
      <w:marBottom w:val="0"/>
      <w:divBdr>
        <w:top w:val="none" w:sz="0" w:space="0" w:color="auto"/>
        <w:left w:val="none" w:sz="0" w:space="0" w:color="auto"/>
        <w:bottom w:val="none" w:sz="0" w:space="0" w:color="auto"/>
        <w:right w:val="none" w:sz="0" w:space="0" w:color="auto"/>
      </w:divBdr>
    </w:div>
    <w:div w:id="1644852948">
      <w:bodyDiv w:val="1"/>
      <w:marLeft w:val="0"/>
      <w:marRight w:val="0"/>
      <w:marTop w:val="0"/>
      <w:marBottom w:val="0"/>
      <w:divBdr>
        <w:top w:val="none" w:sz="0" w:space="0" w:color="auto"/>
        <w:left w:val="none" w:sz="0" w:space="0" w:color="auto"/>
        <w:bottom w:val="none" w:sz="0" w:space="0" w:color="auto"/>
        <w:right w:val="none" w:sz="0" w:space="0" w:color="auto"/>
      </w:divBdr>
    </w:div>
    <w:div w:id="1951935659">
      <w:bodyDiv w:val="1"/>
      <w:marLeft w:val="0"/>
      <w:marRight w:val="0"/>
      <w:marTop w:val="0"/>
      <w:marBottom w:val="0"/>
      <w:divBdr>
        <w:top w:val="none" w:sz="0" w:space="0" w:color="auto"/>
        <w:left w:val="none" w:sz="0" w:space="0" w:color="auto"/>
        <w:bottom w:val="none" w:sz="0" w:space="0" w:color="auto"/>
        <w:right w:val="none" w:sz="0" w:space="0" w:color="auto"/>
      </w:divBdr>
    </w:div>
    <w:div w:id="2077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2021-12-10T16:59:00Z</dcterms:created>
  <dcterms:modified xsi:type="dcterms:W3CDTF">2021-12-10T16:59:00Z</dcterms:modified>
</cp:coreProperties>
</file>