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6954BBE9"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964628">
        <w:rPr>
          <w:rFonts w:asciiTheme="minorHAnsi" w:hAnsiTheme="minorHAnsi"/>
          <w:color w:val="000000"/>
          <w:sz w:val="24"/>
          <w:szCs w:val="24"/>
        </w:rPr>
        <w:t>November 8, 2024</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5EB92D92" w14:textId="024B70DD" w:rsidR="00964628" w:rsidRDefault="004F75AA" w:rsidP="00906D36">
      <w:pPr>
        <w:pStyle w:val="PlainText"/>
        <w:jc w:val="center"/>
        <w:rPr>
          <w:color w:val="FF0000"/>
        </w:rPr>
      </w:pPr>
      <w:hyperlink r:id="rId7" w:history="1">
        <w:r w:rsidR="00964628" w:rsidRPr="002C06ED">
          <w:rPr>
            <w:rStyle w:val="Hyperlink"/>
          </w:rPr>
          <w:t>https://oklahoma.zoom.us/j/91895660826?pwd=UGtPcUtnN0NMVG12cjhjdEFuNHNnUT09&amp;from=addon</w:t>
        </w:r>
      </w:hyperlink>
    </w:p>
    <w:p w14:paraId="3A187C44" w14:textId="77777777" w:rsidR="00964628" w:rsidRDefault="00964628" w:rsidP="00906D36">
      <w:pPr>
        <w:pStyle w:val="PlainText"/>
        <w:jc w:val="center"/>
        <w:rPr>
          <w:color w:val="FF0000"/>
        </w:rPr>
      </w:pPr>
    </w:p>
    <w:p w14:paraId="23717718" w14:textId="3C71E912" w:rsidR="00964628" w:rsidRDefault="00964628" w:rsidP="00906D36">
      <w:pPr>
        <w:pStyle w:val="PlainText"/>
        <w:jc w:val="center"/>
        <w:rPr>
          <w:color w:val="FF0000"/>
        </w:rPr>
      </w:pPr>
      <w:r>
        <w:rPr>
          <w:color w:val="FF0000"/>
        </w:rPr>
        <w:t>Meeting ID: 918 9566 0826</w:t>
      </w:r>
    </w:p>
    <w:p w14:paraId="224EFB50" w14:textId="714A59A8" w:rsidR="00964628" w:rsidRPr="00906D36" w:rsidRDefault="00964628" w:rsidP="00906D36">
      <w:pPr>
        <w:pStyle w:val="PlainText"/>
        <w:jc w:val="center"/>
        <w:rPr>
          <w:color w:val="FF0000"/>
        </w:rPr>
      </w:pPr>
      <w:r>
        <w:rPr>
          <w:color w:val="FF0000"/>
        </w:rPr>
        <w:t>Passcode: 89390470</w:t>
      </w:r>
    </w:p>
    <w:p w14:paraId="28723CEF" w14:textId="77777777" w:rsidR="00884FE8" w:rsidRPr="00977EB6" w:rsidRDefault="00884FE8" w:rsidP="00964628">
      <w:pPr>
        <w:rPr>
          <w:rFonts w:asciiTheme="minorHAnsi" w:hAnsiTheme="minorHAnsi"/>
          <w:color w:val="FF0000"/>
        </w:rPr>
      </w:pPr>
    </w:p>
    <w:p w14:paraId="39614BD4" w14:textId="43367C15" w:rsidR="006555D8" w:rsidRPr="006555D8" w:rsidRDefault="00906D36" w:rsidP="006555D8">
      <w:pPr>
        <w:jc w:val="center"/>
        <w:rPr>
          <w:b/>
          <w:bCs/>
          <w:color w:val="FF0000"/>
          <w:sz w:val="36"/>
          <w:szCs w:val="36"/>
        </w:rPr>
      </w:pPr>
      <w:r w:rsidRPr="006555D8">
        <w:rPr>
          <w:b/>
          <w:bCs/>
          <w:color w:val="FF0000"/>
          <w:sz w:val="36"/>
          <w:szCs w:val="36"/>
        </w:rPr>
        <w:t>“</w:t>
      </w:r>
      <w:bookmarkStart w:id="0" w:name="_GoBack"/>
      <w:r w:rsidR="006555D8" w:rsidRPr="006555D8">
        <w:rPr>
          <w:b/>
          <w:bCs/>
          <w:color w:val="FF0000"/>
          <w:sz w:val="36"/>
          <w:szCs w:val="36"/>
        </w:rPr>
        <w:t>Targeted Therapy for Cancers with Gene Fusions</w:t>
      </w:r>
      <w:bookmarkEnd w:id="0"/>
      <w:r w:rsidR="006555D8" w:rsidRPr="006555D8">
        <w:rPr>
          <w:b/>
          <w:bCs/>
          <w:color w:val="FF0000"/>
          <w:sz w:val="36"/>
          <w:szCs w:val="36"/>
        </w:rPr>
        <w:t>”</w:t>
      </w:r>
    </w:p>
    <w:p w14:paraId="2B37E47D" w14:textId="64A6CBCC" w:rsidR="00906D36" w:rsidRPr="006C004C" w:rsidRDefault="00906D36" w:rsidP="00906D36">
      <w:pPr>
        <w:jc w:val="center"/>
        <w:rPr>
          <w:b/>
          <w:bCs/>
          <w:color w:val="FF0000"/>
          <w:sz w:val="36"/>
          <w:szCs w:val="36"/>
        </w:rPr>
      </w:pP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687C5631" w:rsidR="00906D36" w:rsidRPr="000D2D0F" w:rsidRDefault="00964628" w:rsidP="00906D36">
      <w:pPr>
        <w:keepNext/>
        <w:jc w:val="center"/>
        <w:rPr>
          <w:rFonts w:cs="Tahoma"/>
          <w:b/>
          <w:bCs/>
          <w:color w:val="1F497D"/>
          <w:sz w:val="20"/>
          <w:szCs w:val="20"/>
        </w:rPr>
      </w:pPr>
      <w:r>
        <w:rPr>
          <w:rFonts w:cs="Tahoma"/>
          <w:b/>
          <w:bCs/>
          <w:color w:val="1F497D"/>
          <w:sz w:val="36"/>
          <w:szCs w:val="36"/>
        </w:rPr>
        <w:t xml:space="preserve">Alexander Edward </w:t>
      </w:r>
      <w:proofErr w:type="spellStart"/>
      <w:r>
        <w:rPr>
          <w:rFonts w:cs="Tahoma"/>
          <w:b/>
          <w:bCs/>
          <w:color w:val="1F497D"/>
          <w:sz w:val="36"/>
          <w:szCs w:val="36"/>
        </w:rPr>
        <w:t>Dela</w:t>
      </w:r>
      <w:proofErr w:type="spellEnd"/>
      <w:r>
        <w:rPr>
          <w:rFonts w:cs="Tahoma"/>
          <w:b/>
          <w:bCs/>
          <w:color w:val="1F497D"/>
          <w:sz w:val="36"/>
          <w:szCs w:val="36"/>
        </w:rPr>
        <w:t xml:space="preserve"> Cruz </w:t>
      </w:r>
      <w:proofErr w:type="spellStart"/>
      <w:r>
        <w:rPr>
          <w:rFonts w:cs="Tahoma"/>
          <w:b/>
          <w:bCs/>
          <w:color w:val="1F497D"/>
          <w:sz w:val="36"/>
          <w:szCs w:val="36"/>
        </w:rPr>
        <w:t>Drilon</w:t>
      </w:r>
      <w:proofErr w:type="spellEnd"/>
      <w:r>
        <w:rPr>
          <w:rFonts w:cs="Tahoma"/>
          <w:b/>
          <w:bCs/>
          <w:color w:val="1F497D"/>
          <w:sz w:val="36"/>
          <w:szCs w:val="36"/>
        </w:rPr>
        <w:t xml:space="preserve">, MD </w:t>
      </w:r>
      <w:r w:rsidR="00C66AFC">
        <w:rPr>
          <w:rFonts w:cs="Tahoma"/>
          <w:b/>
          <w:bCs/>
          <w:color w:val="1F497D"/>
          <w:sz w:val="20"/>
          <w:szCs w:val="20"/>
        </w:rPr>
        <w:t xml:space="preserve"> </w:t>
      </w:r>
    </w:p>
    <w:p w14:paraId="293F20A2" w14:textId="4AB0488E" w:rsidR="00906D36" w:rsidRDefault="00964628" w:rsidP="00906D36">
      <w:pPr>
        <w:keepNext/>
        <w:jc w:val="center"/>
        <w:rPr>
          <w:rFonts w:cs="Tahoma"/>
          <w:b/>
          <w:bCs/>
          <w:color w:val="1F497D"/>
          <w:sz w:val="24"/>
          <w:szCs w:val="24"/>
        </w:rPr>
      </w:pPr>
      <w:r>
        <w:rPr>
          <w:rFonts w:cs="Tahoma"/>
          <w:b/>
          <w:bCs/>
          <w:color w:val="1F497D"/>
          <w:sz w:val="24"/>
          <w:szCs w:val="24"/>
        </w:rPr>
        <w:t xml:space="preserve">Memorial Sloan Kettering Cancer Center </w:t>
      </w:r>
    </w:p>
    <w:p w14:paraId="0789BCD4" w14:textId="4E31F919" w:rsidR="00964628" w:rsidRPr="004E4260" w:rsidRDefault="00964628" w:rsidP="00906D36">
      <w:pPr>
        <w:keepNext/>
        <w:jc w:val="center"/>
        <w:rPr>
          <w:rFonts w:cs="Tahoma"/>
          <w:b/>
          <w:bCs/>
          <w:color w:val="1F497D"/>
          <w:sz w:val="24"/>
          <w:szCs w:val="24"/>
        </w:rPr>
      </w:pPr>
      <w:r>
        <w:rPr>
          <w:rFonts w:cs="Tahoma"/>
          <w:b/>
          <w:bCs/>
          <w:color w:val="1F497D"/>
          <w:sz w:val="24"/>
          <w:szCs w:val="24"/>
        </w:rPr>
        <w:t xml:space="preserve">And Weill Cornell Medical College, Cornell University </w:t>
      </w:r>
    </w:p>
    <w:p w14:paraId="04E3CC7A" w14:textId="663D5C94" w:rsidR="003C691A" w:rsidRPr="00964628" w:rsidRDefault="00884FE8" w:rsidP="00964628">
      <w:pPr>
        <w:jc w:val="center"/>
        <w:rPr>
          <w:rFonts w:asciiTheme="minorHAnsi" w:hAnsiTheme="minorHAnsi"/>
          <w:b/>
          <w:color w:val="000000"/>
        </w:rPr>
      </w:pPr>
      <w:r w:rsidRPr="004F5896">
        <w:rPr>
          <w:rFonts w:asciiTheme="minorHAnsi" w:hAnsiTheme="minorHAnsi"/>
          <w:b/>
          <w:color w:val="1F497D"/>
        </w:rPr>
        <w:t> </w:t>
      </w: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0D2D0F">
        <w:rPr>
          <w:rFonts w:asciiTheme="minorHAnsi" w:hAnsiTheme="minorHAnsi"/>
          <w:color w:val="000000"/>
        </w:rPr>
        <w:t>R</w:t>
      </w:r>
      <w:r w:rsidR="00B45BFC" w:rsidRPr="00B45BFC">
        <w:rPr>
          <w:rFonts w:asciiTheme="minorHAnsi" w:hAnsiTheme="minorHAnsi"/>
          <w:color w:val="000000"/>
        </w:rPr>
        <w:t>obin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423D4029" w14:textId="0C5112C5" w:rsidR="00C9349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r w:rsidR="000D2D0F">
        <w:rPr>
          <w:rFonts w:asciiTheme="minorHAnsi" w:hAnsiTheme="minorHAnsi"/>
          <w:color w:val="000000"/>
        </w:rPr>
        <w:br/>
      </w:r>
    </w:p>
    <w:p w14:paraId="1D49CE35" w14:textId="33789B66" w:rsidR="000D2D0F" w:rsidRDefault="000D2D0F" w:rsidP="00977EB6">
      <w:pPr>
        <w:rPr>
          <w:rFonts w:asciiTheme="minorHAnsi" w:hAnsiTheme="minorHAnsi"/>
          <w:color w:val="000000"/>
        </w:rPr>
      </w:pPr>
    </w:p>
    <w:p w14:paraId="34EE7138" w14:textId="3A7A5107" w:rsidR="000D2D0F" w:rsidRDefault="000D2D0F" w:rsidP="00977EB6">
      <w:pPr>
        <w:rPr>
          <w:rFonts w:asciiTheme="minorHAnsi" w:hAnsiTheme="minorHAnsi"/>
          <w:color w:val="000000"/>
        </w:rPr>
      </w:pPr>
    </w:p>
    <w:p w14:paraId="018351AA" w14:textId="25E08B40" w:rsidR="000D2D0F" w:rsidRDefault="000D2D0F" w:rsidP="00977EB6">
      <w:pPr>
        <w:rPr>
          <w:rFonts w:asciiTheme="minorHAnsi" w:hAnsiTheme="minorHAnsi"/>
          <w:color w:val="000000"/>
        </w:rPr>
      </w:pPr>
    </w:p>
    <w:p w14:paraId="324ADB56" w14:textId="7CCD4359" w:rsidR="000D2D0F" w:rsidRDefault="000D2D0F" w:rsidP="00977EB6">
      <w:pPr>
        <w:rPr>
          <w:rFonts w:asciiTheme="minorHAnsi" w:hAnsiTheme="minorHAnsi"/>
          <w:color w:val="000000"/>
        </w:rPr>
      </w:pPr>
    </w:p>
    <w:p w14:paraId="699DB25D" w14:textId="61D09A23" w:rsidR="000D2D0F" w:rsidRDefault="000D2D0F" w:rsidP="00977EB6">
      <w:pPr>
        <w:rPr>
          <w:rFonts w:asciiTheme="minorHAnsi" w:hAnsiTheme="minorHAnsi"/>
          <w:color w:val="000000"/>
        </w:rPr>
      </w:pPr>
    </w:p>
    <w:p w14:paraId="1AB61053" w14:textId="559D114C" w:rsidR="000D2D0F" w:rsidRDefault="000D2D0F" w:rsidP="00977EB6">
      <w:pPr>
        <w:rPr>
          <w:rFonts w:asciiTheme="minorHAnsi" w:hAnsiTheme="minorHAnsi"/>
          <w:color w:val="000000"/>
        </w:rPr>
      </w:pPr>
    </w:p>
    <w:p w14:paraId="05AD85F3" w14:textId="6CF87FFC" w:rsidR="000D2D0F" w:rsidRDefault="000D2D0F" w:rsidP="00977EB6">
      <w:pPr>
        <w:rPr>
          <w:rFonts w:asciiTheme="minorHAnsi" w:hAnsiTheme="minorHAnsi"/>
          <w:color w:val="000000"/>
        </w:rPr>
      </w:pPr>
    </w:p>
    <w:p w14:paraId="1452D60B" w14:textId="48EA2243" w:rsidR="000D2D0F" w:rsidRDefault="000D2D0F" w:rsidP="00977EB6">
      <w:pPr>
        <w:rPr>
          <w:rFonts w:asciiTheme="minorHAnsi" w:hAnsiTheme="minorHAnsi"/>
          <w:color w:val="000000"/>
        </w:rPr>
      </w:pPr>
    </w:p>
    <w:p w14:paraId="59313C01" w14:textId="50D7E022" w:rsidR="000D2D0F" w:rsidRDefault="000D2D0F" w:rsidP="00977EB6">
      <w:pPr>
        <w:rPr>
          <w:rFonts w:asciiTheme="minorHAnsi" w:hAnsiTheme="minorHAnsi"/>
          <w:color w:val="000000"/>
        </w:rPr>
      </w:pPr>
    </w:p>
    <w:p w14:paraId="04BE562A" w14:textId="14FC4C9F" w:rsidR="000D2D0F" w:rsidRDefault="000D2D0F" w:rsidP="00977EB6">
      <w:pPr>
        <w:rPr>
          <w:rFonts w:asciiTheme="minorHAnsi" w:hAnsiTheme="minorHAnsi"/>
          <w:color w:val="000000"/>
        </w:rPr>
      </w:pPr>
    </w:p>
    <w:p w14:paraId="2E142E8E" w14:textId="77777777" w:rsidR="000D2D0F" w:rsidRDefault="000D2D0F" w:rsidP="00977EB6">
      <w:pPr>
        <w:rPr>
          <w:rFonts w:asciiTheme="minorHAnsi" w:hAnsiTheme="minorHAnsi"/>
          <w:color w:val="000000"/>
        </w:rPr>
      </w:pP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lastRenderedPageBreak/>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1975"/>
        <w:gridCol w:w="1260"/>
        <w:gridCol w:w="1710"/>
        <w:gridCol w:w="3870"/>
        <w:gridCol w:w="1975"/>
      </w:tblGrid>
      <w:tr w:rsidR="007203CC" w:rsidRPr="007203CC" w14:paraId="1560F405" w14:textId="77777777" w:rsidTr="000D2D0F">
        <w:tc>
          <w:tcPr>
            <w:tcW w:w="494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84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0D2D0F">
        <w:tc>
          <w:tcPr>
            <w:tcW w:w="197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71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387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197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0D2D0F">
        <w:tc>
          <w:tcPr>
            <w:tcW w:w="1975" w:type="dxa"/>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710" w:type="dxa"/>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845" w:type="dxa"/>
            <w:gridSpan w:val="2"/>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0D2D0F">
        <w:tc>
          <w:tcPr>
            <w:tcW w:w="1975" w:type="dxa"/>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710" w:type="dxa"/>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845" w:type="dxa"/>
            <w:gridSpan w:val="2"/>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0D2D0F">
        <w:tc>
          <w:tcPr>
            <w:tcW w:w="1975" w:type="dxa"/>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710" w:type="dxa"/>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845" w:type="dxa"/>
            <w:gridSpan w:val="2"/>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0D2D0F">
        <w:tc>
          <w:tcPr>
            <w:tcW w:w="1975" w:type="dxa"/>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710" w:type="dxa"/>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845" w:type="dxa"/>
            <w:gridSpan w:val="2"/>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D2D0F" w:rsidRPr="00CF46D1" w14:paraId="3AA9CAE0" w14:textId="77777777" w:rsidTr="000D2D0F">
        <w:tc>
          <w:tcPr>
            <w:tcW w:w="1975" w:type="dxa"/>
            <w:vMerge w:val="restart"/>
            <w:vAlign w:val="center"/>
          </w:tcPr>
          <w:p w14:paraId="29B15767" w14:textId="09947B4A" w:rsidR="000D2D0F" w:rsidRPr="00906D36" w:rsidRDefault="000D2D0F" w:rsidP="000E658E">
            <w:pPr>
              <w:rPr>
                <w:rFonts w:asciiTheme="minorHAnsi" w:hAnsiTheme="minorHAnsi"/>
                <w:sz w:val="20"/>
                <w:szCs w:val="20"/>
              </w:rPr>
            </w:pPr>
            <w:r w:rsidRPr="00906D36">
              <w:rPr>
                <w:rFonts w:asciiTheme="minorHAnsi" w:hAnsiTheme="minorHAnsi"/>
                <w:sz w:val="20"/>
                <w:szCs w:val="20"/>
              </w:rPr>
              <w:t>Speaker</w:t>
            </w:r>
          </w:p>
        </w:tc>
        <w:tc>
          <w:tcPr>
            <w:tcW w:w="1260" w:type="dxa"/>
            <w:vMerge w:val="restart"/>
            <w:vAlign w:val="center"/>
          </w:tcPr>
          <w:p w14:paraId="1372C2C4" w14:textId="3B7556C2" w:rsidR="000D2D0F" w:rsidRPr="00906D36" w:rsidRDefault="000D2D0F" w:rsidP="000E658E">
            <w:pPr>
              <w:rPr>
                <w:rFonts w:asciiTheme="minorHAnsi" w:hAnsiTheme="minorHAnsi"/>
                <w:sz w:val="20"/>
                <w:szCs w:val="20"/>
              </w:rPr>
            </w:pPr>
            <w:r>
              <w:rPr>
                <w:rFonts w:asciiTheme="minorHAnsi" w:hAnsiTheme="minorHAnsi"/>
                <w:sz w:val="20"/>
                <w:szCs w:val="20"/>
              </w:rPr>
              <w:t>Alexander</w:t>
            </w:r>
          </w:p>
        </w:tc>
        <w:tc>
          <w:tcPr>
            <w:tcW w:w="1710" w:type="dxa"/>
            <w:vMerge w:val="restart"/>
            <w:vAlign w:val="center"/>
          </w:tcPr>
          <w:p w14:paraId="34A6A375" w14:textId="1792A74C" w:rsidR="000D2D0F" w:rsidRPr="00906D36" w:rsidRDefault="000D2D0F" w:rsidP="000E658E">
            <w:pPr>
              <w:rPr>
                <w:rFonts w:asciiTheme="minorHAnsi" w:hAnsiTheme="minorHAnsi"/>
                <w:sz w:val="20"/>
                <w:szCs w:val="20"/>
              </w:rPr>
            </w:pPr>
            <w:proofErr w:type="spellStart"/>
            <w:r>
              <w:rPr>
                <w:rFonts w:asciiTheme="minorHAnsi" w:hAnsiTheme="minorHAnsi"/>
                <w:sz w:val="20"/>
                <w:szCs w:val="20"/>
              </w:rPr>
              <w:t>Dela</w:t>
            </w:r>
            <w:proofErr w:type="spellEnd"/>
            <w:r>
              <w:rPr>
                <w:rFonts w:asciiTheme="minorHAnsi" w:hAnsiTheme="minorHAnsi"/>
                <w:sz w:val="20"/>
                <w:szCs w:val="20"/>
              </w:rPr>
              <w:t xml:space="preserve"> Cruz </w:t>
            </w:r>
            <w:proofErr w:type="spellStart"/>
            <w:r>
              <w:rPr>
                <w:rFonts w:asciiTheme="minorHAnsi" w:hAnsiTheme="minorHAnsi"/>
                <w:sz w:val="20"/>
                <w:szCs w:val="20"/>
              </w:rPr>
              <w:t>Drilon</w:t>
            </w:r>
            <w:proofErr w:type="spellEnd"/>
            <w:r>
              <w:rPr>
                <w:rFonts w:asciiTheme="minorHAnsi" w:hAnsiTheme="minorHAnsi"/>
                <w:sz w:val="20"/>
                <w:szCs w:val="20"/>
              </w:rPr>
              <w:t>, MD</w:t>
            </w:r>
          </w:p>
        </w:tc>
        <w:tc>
          <w:tcPr>
            <w:tcW w:w="3870" w:type="dxa"/>
            <w:vAlign w:val="center"/>
          </w:tcPr>
          <w:p w14:paraId="77D99991" w14:textId="0164F41E" w:rsidR="000D2D0F" w:rsidRPr="00906D36" w:rsidRDefault="000D2D0F" w:rsidP="000E658E">
            <w:pPr>
              <w:rPr>
                <w:rFonts w:asciiTheme="minorHAnsi" w:hAnsiTheme="minorHAnsi"/>
                <w:sz w:val="20"/>
                <w:szCs w:val="20"/>
              </w:rPr>
            </w:pPr>
            <w:r>
              <w:rPr>
                <w:rFonts w:asciiTheme="minorHAnsi" w:hAnsiTheme="minorHAnsi"/>
                <w:sz w:val="20"/>
                <w:szCs w:val="20"/>
              </w:rPr>
              <w:t xml:space="preserve">Bristol-Myers Squibb; Lilly; Genentech USA; Elevation Oncology; </w:t>
            </w:r>
            <w:proofErr w:type="spellStart"/>
            <w:r>
              <w:rPr>
                <w:rFonts w:asciiTheme="minorHAnsi" w:hAnsiTheme="minorHAnsi"/>
                <w:sz w:val="20"/>
                <w:szCs w:val="20"/>
              </w:rPr>
              <w:t>AnHeart</w:t>
            </w:r>
            <w:proofErr w:type="spellEnd"/>
            <w:r>
              <w:rPr>
                <w:rFonts w:asciiTheme="minorHAnsi" w:hAnsiTheme="minorHAnsi"/>
                <w:sz w:val="20"/>
                <w:szCs w:val="20"/>
              </w:rPr>
              <w:t xml:space="preserve"> Therapeutics; </w:t>
            </w:r>
            <w:proofErr w:type="spellStart"/>
            <w:r>
              <w:rPr>
                <w:rFonts w:asciiTheme="minorHAnsi" w:hAnsiTheme="minorHAnsi"/>
                <w:sz w:val="20"/>
                <w:szCs w:val="20"/>
              </w:rPr>
              <w:t>Boehringer</w:t>
            </w:r>
            <w:proofErr w:type="spellEnd"/>
            <w:r>
              <w:rPr>
                <w:rFonts w:asciiTheme="minorHAnsi" w:hAnsiTheme="minorHAnsi"/>
                <w:sz w:val="20"/>
                <w:szCs w:val="20"/>
              </w:rPr>
              <w:t xml:space="preserve"> </w:t>
            </w:r>
            <w:proofErr w:type="spellStart"/>
            <w:r>
              <w:rPr>
                <w:rFonts w:asciiTheme="minorHAnsi" w:hAnsiTheme="minorHAnsi"/>
                <w:sz w:val="20"/>
                <w:szCs w:val="20"/>
              </w:rPr>
              <w:t>Ingelheim</w:t>
            </w:r>
            <w:proofErr w:type="spellEnd"/>
            <w:r>
              <w:rPr>
                <w:rFonts w:asciiTheme="minorHAnsi" w:hAnsiTheme="minorHAnsi"/>
                <w:sz w:val="20"/>
                <w:szCs w:val="20"/>
              </w:rPr>
              <w:t xml:space="preserve">; </w:t>
            </w:r>
            <w:proofErr w:type="spellStart"/>
            <w:r>
              <w:rPr>
                <w:rFonts w:asciiTheme="minorHAnsi" w:hAnsiTheme="minorHAnsi"/>
                <w:sz w:val="20"/>
                <w:szCs w:val="20"/>
              </w:rPr>
              <w:t>Entos</w:t>
            </w:r>
            <w:proofErr w:type="spellEnd"/>
            <w:r>
              <w:rPr>
                <w:rFonts w:asciiTheme="minorHAnsi" w:hAnsiTheme="minorHAnsi"/>
                <w:sz w:val="20"/>
                <w:szCs w:val="20"/>
              </w:rPr>
              <w:t xml:space="preserve">; </w:t>
            </w:r>
            <w:proofErr w:type="spellStart"/>
            <w:r>
              <w:rPr>
                <w:rFonts w:asciiTheme="minorHAnsi" w:hAnsiTheme="minorHAnsi"/>
                <w:sz w:val="20"/>
                <w:szCs w:val="20"/>
              </w:rPr>
              <w:t>MonteRosa</w:t>
            </w:r>
            <w:proofErr w:type="spellEnd"/>
            <w:r>
              <w:rPr>
                <w:rFonts w:asciiTheme="minorHAnsi" w:hAnsiTheme="minorHAnsi"/>
                <w:sz w:val="20"/>
                <w:szCs w:val="20"/>
              </w:rPr>
              <w:t xml:space="preserve">; </w:t>
            </w:r>
            <w:proofErr w:type="spellStart"/>
            <w:r>
              <w:rPr>
                <w:rFonts w:asciiTheme="minorHAnsi" w:hAnsiTheme="minorHAnsi"/>
                <w:sz w:val="20"/>
                <w:szCs w:val="20"/>
              </w:rPr>
              <w:t>Nuvalent</w:t>
            </w:r>
            <w:proofErr w:type="spellEnd"/>
            <w:r>
              <w:rPr>
                <w:rFonts w:asciiTheme="minorHAnsi" w:hAnsiTheme="minorHAnsi"/>
                <w:sz w:val="20"/>
                <w:szCs w:val="20"/>
              </w:rPr>
              <w:t xml:space="preserve">; Pfizer, Inc.; Prelude; Regeneron; Springer Healthcare; </w:t>
            </w:r>
            <w:proofErr w:type="spellStart"/>
            <w:r>
              <w:rPr>
                <w:rFonts w:asciiTheme="minorHAnsi" w:hAnsiTheme="minorHAnsi"/>
                <w:sz w:val="20"/>
                <w:szCs w:val="20"/>
              </w:rPr>
              <w:t>Treeline</w:t>
            </w:r>
            <w:proofErr w:type="spellEnd"/>
            <w:r>
              <w:rPr>
                <w:rFonts w:asciiTheme="minorHAnsi" w:hAnsiTheme="minorHAnsi"/>
                <w:sz w:val="20"/>
                <w:szCs w:val="20"/>
              </w:rPr>
              <w:t xml:space="preserve"> Bio; </w:t>
            </w:r>
          </w:p>
        </w:tc>
        <w:tc>
          <w:tcPr>
            <w:tcW w:w="1975" w:type="dxa"/>
            <w:vAlign w:val="center"/>
          </w:tcPr>
          <w:p w14:paraId="71E53640" w14:textId="77777777" w:rsidR="000D2D0F" w:rsidRPr="00906D36" w:rsidRDefault="000D2D0F" w:rsidP="000E658E">
            <w:pPr>
              <w:rPr>
                <w:rFonts w:asciiTheme="minorHAnsi" w:hAnsiTheme="minorHAnsi"/>
                <w:sz w:val="20"/>
                <w:szCs w:val="20"/>
              </w:rPr>
            </w:pPr>
            <w:r w:rsidRPr="00906D36">
              <w:rPr>
                <w:rFonts w:asciiTheme="minorHAnsi" w:hAnsiTheme="minorHAnsi"/>
                <w:sz w:val="20"/>
                <w:szCs w:val="20"/>
              </w:rPr>
              <w:t>Honorarium</w:t>
            </w:r>
          </w:p>
          <w:p w14:paraId="015F28B8" w14:textId="77777777" w:rsidR="000D2D0F" w:rsidRPr="00906D36" w:rsidRDefault="000D2D0F" w:rsidP="000E658E">
            <w:pPr>
              <w:rPr>
                <w:rFonts w:asciiTheme="minorHAnsi" w:hAnsiTheme="minorHAnsi"/>
                <w:sz w:val="20"/>
                <w:szCs w:val="20"/>
              </w:rPr>
            </w:pPr>
            <w:r w:rsidRPr="00906D36">
              <w:rPr>
                <w:rFonts w:asciiTheme="minorHAnsi" w:hAnsiTheme="minorHAnsi"/>
                <w:sz w:val="20"/>
                <w:szCs w:val="20"/>
              </w:rPr>
              <w:t xml:space="preserve"> </w:t>
            </w:r>
          </w:p>
        </w:tc>
      </w:tr>
      <w:tr w:rsidR="000D2D0F" w:rsidRPr="00CF46D1" w14:paraId="07260D14" w14:textId="77777777" w:rsidTr="000D2D0F">
        <w:tc>
          <w:tcPr>
            <w:tcW w:w="1975" w:type="dxa"/>
            <w:vMerge/>
            <w:vAlign w:val="center"/>
          </w:tcPr>
          <w:p w14:paraId="3DC1127E" w14:textId="77777777" w:rsidR="000D2D0F" w:rsidRPr="00906D36" w:rsidRDefault="000D2D0F" w:rsidP="000E658E">
            <w:pPr>
              <w:rPr>
                <w:rFonts w:asciiTheme="minorHAnsi" w:hAnsiTheme="minorHAnsi"/>
                <w:sz w:val="20"/>
                <w:szCs w:val="20"/>
              </w:rPr>
            </w:pPr>
          </w:p>
        </w:tc>
        <w:tc>
          <w:tcPr>
            <w:tcW w:w="1260" w:type="dxa"/>
            <w:vMerge/>
            <w:vAlign w:val="center"/>
          </w:tcPr>
          <w:p w14:paraId="32EF36A1" w14:textId="77777777" w:rsidR="000D2D0F" w:rsidRDefault="000D2D0F" w:rsidP="000E658E">
            <w:pPr>
              <w:rPr>
                <w:rFonts w:asciiTheme="minorHAnsi" w:hAnsiTheme="minorHAnsi"/>
                <w:sz w:val="20"/>
                <w:szCs w:val="20"/>
              </w:rPr>
            </w:pPr>
          </w:p>
        </w:tc>
        <w:tc>
          <w:tcPr>
            <w:tcW w:w="1710" w:type="dxa"/>
            <w:vMerge/>
            <w:vAlign w:val="center"/>
          </w:tcPr>
          <w:p w14:paraId="1E0F8393" w14:textId="77777777" w:rsidR="000D2D0F" w:rsidRDefault="000D2D0F" w:rsidP="000E658E">
            <w:pPr>
              <w:rPr>
                <w:rFonts w:asciiTheme="minorHAnsi" w:hAnsiTheme="minorHAnsi"/>
                <w:sz w:val="20"/>
                <w:szCs w:val="20"/>
              </w:rPr>
            </w:pPr>
          </w:p>
        </w:tc>
        <w:tc>
          <w:tcPr>
            <w:tcW w:w="3870" w:type="dxa"/>
            <w:vAlign w:val="center"/>
          </w:tcPr>
          <w:p w14:paraId="54376403" w14:textId="7F65DED9" w:rsidR="000D2D0F" w:rsidRPr="00906D36" w:rsidRDefault="000D2D0F" w:rsidP="000E658E">
            <w:pPr>
              <w:rPr>
                <w:rFonts w:asciiTheme="minorHAnsi" w:hAnsiTheme="minorHAnsi"/>
                <w:sz w:val="20"/>
                <w:szCs w:val="20"/>
              </w:rPr>
            </w:pPr>
            <w:r>
              <w:rPr>
                <w:rFonts w:asciiTheme="minorHAnsi" w:hAnsiTheme="minorHAnsi"/>
                <w:sz w:val="20"/>
                <w:szCs w:val="20"/>
              </w:rPr>
              <w:t xml:space="preserve">Bayer; Lilly; </w:t>
            </w:r>
            <w:proofErr w:type="spellStart"/>
            <w:r>
              <w:rPr>
                <w:rFonts w:asciiTheme="minorHAnsi" w:hAnsiTheme="minorHAnsi"/>
                <w:sz w:val="20"/>
                <w:szCs w:val="20"/>
              </w:rPr>
              <w:t>AnHeart</w:t>
            </w:r>
            <w:proofErr w:type="spellEnd"/>
            <w:r>
              <w:rPr>
                <w:rFonts w:asciiTheme="minorHAnsi" w:hAnsiTheme="minorHAnsi"/>
                <w:sz w:val="20"/>
                <w:szCs w:val="20"/>
              </w:rPr>
              <w:t xml:space="preserve"> Therapeutics; </w:t>
            </w:r>
          </w:p>
        </w:tc>
        <w:tc>
          <w:tcPr>
            <w:tcW w:w="1975" w:type="dxa"/>
            <w:vAlign w:val="center"/>
          </w:tcPr>
          <w:p w14:paraId="6C04971C" w14:textId="22E3C027" w:rsidR="000D2D0F" w:rsidRPr="00906D36" w:rsidRDefault="000D2D0F" w:rsidP="000E658E">
            <w:pPr>
              <w:rPr>
                <w:rFonts w:asciiTheme="minorHAnsi" w:hAnsiTheme="minorHAnsi"/>
                <w:sz w:val="20"/>
                <w:szCs w:val="20"/>
              </w:rPr>
            </w:pPr>
            <w:r>
              <w:rPr>
                <w:rFonts w:asciiTheme="minorHAnsi" w:hAnsiTheme="minorHAnsi"/>
                <w:sz w:val="20"/>
                <w:szCs w:val="20"/>
              </w:rPr>
              <w:t>Advisor</w:t>
            </w:r>
          </w:p>
        </w:tc>
      </w:tr>
      <w:tr w:rsidR="000D2D0F" w:rsidRPr="00CF46D1" w14:paraId="159AA4F1" w14:textId="77777777" w:rsidTr="000D2D0F">
        <w:tc>
          <w:tcPr>
            <w:tcW w:w="1975" w:type="dxa"/>
            <w:vMerge/>
            <w:vAlign w:val="center"/>
          </w:tcPr>
          <w:p w14:paraId="1AAE277F" w14:textId="77777777" w:rsidR="000D2D0F" w:rsidRPr="00906D36" w:rsidRDefault="000D2D0F" w:rsidP="000E658E">
            <w:pPr>
              <w:rPr>
                <w:rFonts w:asciiTheme="minorHAnsi" w:hAnsiTheme="minorHAnsi"/>
                <w:sz w:val="20"/>
                <w:szCs w:val="20"/>
              </w:rPr>
            </w:pPr>
          </w:p>
        </w:tc>
        <w:tc>
          <w:tcPr>
            <w:tcW w:w="1260" w:type="dxa"/>
            <w:vMerge/>
            <w:vAlign w:val="center"/>
          </w:tcPr>
          <w:p w14:paraId="262E0376" w14:textId="77777777" w:rsidR="000D2D0F" w:rsidRDefault="000D2D0F" w:rsidP="000E658E">
            <w:pPr>
              <w:rPr>
                <w:rFonts w:asciiTheme="minorHAnsi" w:hAnsiTheme="minorHAnsi"/>
                <w:sz w:val="20"/>
                <w:szCs w:val="20"/>
              </w:rPr>
            </w:pPr>
          </w:p>
        </w:tc>
        <w:tc>
          <w:tcPr>
            <w:tcW w:w="1710" w:type="dxa"/>
            <w:vMerge/>
            <w:vAlign w:val="center"/>
          </w:tcPr>
          <w:p w14:paraId="4E4794EA" w14:textId="77777777" w:rsidR="000D2D0F" w:rsidRDefault="000D2D0F" w:rsidP="000E658E">
            <w:pPr>
              <w:rPr>
                <w:rFonts w:asciiTheme="minorHAnsi" w:hAnsiTheme="minorHAnsi"/>
                <w:sz w:val="20"/>
                <w:szCs w:val="20"/>
              </w:rPr>
            </w:pPr>
          </w:p>
        </w:tc>
        <w:tc>
          <w:tcPr>
            <w:tcW w:w="3870" w:type="dxa"/>
            <w:vAlign w:val="center"/>
          </w:tcPr>
          <w:p w14:paraId="2B28C70D" w14:textId="4E2A0556" w:rsidR="000D2D0F" w:rsidRDefault="000D2D0F" w:rsidP="000E658E">
            <w:pPr>
              <w:rPr>
                <w:rFonts w:asciiTheme="minorHAnsi" w:hAnsiTheme="minorHAnsi"/>
                <w:sz w:val="20"/>
                <w:szCs w:val="20"/>
              </w:rPr>
            </w:pPr>
            <w:proofErr w:type="spellStart"/>
            <w:r>
              <w:rPr>
                <w:rFonts w:asciiTheme="minorHAnsi" w:hAnsiTheme="minorHAnsi"/>
                <w:sz w:val="20"/>
                <w:szCs w:val="20"/>
              </w:rPr>
              <w:t>MonteRosa</w:t>
            </w:r>
            <w:proofErr w:type="spellEnd"/>
            <w:r>
              <w:rPr>
                <w:rFonts w:asciiTheme="minorHAnsi" w:hAnsiTheme="minorHAnsi"/>
                <w:sz w:val="20"/>
                <w:szCs w:val="20"/>
              </w:rPr>
              <w:t xml:space="preserve">; </w:t>
            </w:r>
            <w:proofErr w:type="spellStart"/>
            <w:r>
              <w:rPr>
                <w:rFonts w:asciiTheme="minorHAnsi" w:hAnsiTheme="minorHAnsi"/>
                <w:sz w:val="20"/>
                <w:szCs w:val="20"/>
              </w:rPr>
              <w:t>Innocare</w:t>
            </w:r>
            <w:proofErr w:type="spellEnd"/>
            <w:r>
              <w:rPr>
                <w:rFonts w:asciiTheme="minorHAnsi" w:hAnsiTheme="minorHAnsi"/>
                <w:sz w:val="20"/>
                <w:szCs w:val="20"/>
              </w:rPr>
              <w:t xml:space="preserve">; Boundless Bio; </w:t>
            </w:r>
            <w:proofErr w:type="spellStart"/>
            <w:r>
              <w:rPr>
                <w:rFonts w:asciiTheme="minorHAnsi" w:hAnsiTheme="minorHAnsi"/>
                <w:sz w:val="20"/>
                <w:szCs w:val="20"/>
              </w:rPr>
              <w:t>Treeline</w:t>
            </w:r>
            <w:proofErr w:type="spellEnd"/>
            <w:r>
              <w:rPr>
                <w:rFonts w:asciiTheme="minorHAnsi" w:hAnsiTheme="minorHAnsi"/>
                <w:sz w:val="20"/>
                <w:szCs w:val="20"/>
              </w:rPr>
              <w:t xml:space="preserve"> Bio; </w:t>
            </w:r>
            <w:proofErr w:type="spellStart"/>
            <w:r>
              <w:rPr>
                <w:rFonts w:asciiTheme="minorHAnsi" w:hAnsiTheme="minorHAnsi"/>
                <w:sz w:val="20"/>
                <w:szCs w:val="20"/>
              </w:rPr>
              <w:t>Nuvalent</w:t>
            </w:r>
            <w:proofErr w:type="spellEnd"/>
            <w:r>
              <w:rPr>
                <w:rFonts w:asciiTheme="minorHAnsi" w:hAnsiTheme="minorHAnsi"/>
                <w:sz w:val="20"/>
                <w:szCs w:val="20"/>
              </w:rPr>
              <w:t xml:space="preserve">; Elevation Oncology; </w:t>
            </w:r>
            <w:proofErr w:type="spellStart"/>
            <w:r>
              <w:rPr>
                <w:rFonts w:asciiTheme="minorHAnsi" w:hAnsiTheme="minorHAnsi"/>
                <w:sz w:val="20"/>
                <w:szCs w:val="20"/>
              </w:rPr>
              <w:t>Entos</w:t>
            </w:r>
            <w:proofErr w:type="spellEnd"/>
            <w:r>
              <w:rPr>
                <w:rFonts w:asciiTheme="minorHAnsi" w:hAnsiTheme="minorHAnsi"/>
                <w:sz w:val="20"/>
                <w:szCs w:val="20"/>
              </w:rPr>
              <w:t xml:space="preserve">; Prelude; Bayer; Applied Pharmaceutical Science; Bristol-Myers Squibb; </w:t>
            </w:r>
            <w:proofErr w:type="spellStart"/>
            <w:r>
              <w:rPr>
                <w:rFonts w:asciiTheme="minorHAnsi" w:hAnsiTheme="minorHAnsi"/>
                <w:sz w:val="20"/>
                <w:szCs w:val="20"/>
              </w:rPr>
              <w:t>Enjaza</w:t>
            </w:r>
            <w:proofErr w:type="spellEnd"/>
            <w:r>
              <w:rPr>
                <w:rFonts w:asciiTheme="minorHAnsi" w:hAnsiTheme="minorHAnsi"/>
                <w:sz w:val="20"/>
                <w:szCs w:val="20"/>
              </w:rPr>
              <w:t xml:space="preserve">; Pfizer, Inc.; Genentech USA; Novartis FSC; </w:t>
            </w:r>
          </w:p>
        </w:tc>
        <w:tc>
          <w:tcPr>
            <w:tcW w:w="1975" w:type="dxa"/>
            <w:vAlign w:val="center"/>
          </w:tcPr>
          <w:p w14:paraId="566902BB" w14:textId="152C29E7" w:rsidR="000D2D0F" w:rsidRDefault="000D2D0F" w:rsidP="000E658E">
            <w:pPr>
              <w:rPr>
                <w:rFonts w:asciiTheme="minorHAnsi" w:hAnsiTheme="minorHAnsi"/>
                <w:sz w:val="20"/>
                <w:szCs w:val="20"/>
              </w:rPr>
            </w:pPr>
            <w:r>
              <w:rPr>
                <w:rFonts w:asciiTheme="minorHAnsi" w:hAnsiTheme="minorHAnsi"/>
                <w:sz w:val="20"/>
                <w:szCs w:val="20"/>
              </w:rPr>
              <w:t>Consulting Fee</w:t>
            </w:r>
          </w:p>
        </w:tc>
      </w:tr>
      <w:tr w:rsidR="000D2D0F" w:rsidRPr="00CF46D1" w14:paraId="4B62DC9E" w14:textId="77777777" w:rsidTr="000D2D0F">
        <w:tc>
          <w:tcPr>
            <w:tcW w:w="1975" w:type="dxa"/>
            <w:vMerge/>
            <w:vAlign w:val="center"/>
          </w:tcPr>
          <w:p w14:paraId="003A216C" w14:textId="77777777" w:rsidR="000D2D0F" w:rsidRPr="00906D36" w:rsidRDefault="000D2D0F" w:rsidP="000E658E">
            <w:pPr>
              <w:rPr>
                <w:rFonts w:asciiTheme="minorHAnsi" w:hAnsiTheme="minorHAnsi"/>
                <w:sz w:val="20"/>
                <w:szCs w:val="20"/>
              </w:rPr>
            </w:pPr>
          </w:p>
        </w:tc>
        <w:tc>
          <w:tcPr>
            <w:tcW w:w="1260" w:type="dxa"/>
            <w:vMerge/>
            <w:vAlign w:val="center"/>
          </w:tcPr>
          <w:p w14:paraId="5120DD29" w14:textId="77777777" w:rsidR="000D2D0F" w:rsidRDefault="000D2D0F" w:rsidP="000E658E">
            <w:pPr>
              <w:rPr>
                <w:rFonts w:asciiTheme="minorHAnsi" w:hAnsiTheme="minorHAnsi"/>
                <w:sz w:val="20"/>
                <w:szCs w:val="20"/>
              </w:rPr>
            </w:pPr>
          </w:p>
        </w:tc>
        <w:tc>
          <w:tcPr>
            <w:tcW w:w="1710" w:type="dxa"/>
            <w:vMerge/>
            <w:vAlign w:val="center"/>
          </w:tcPr>
          <w:p w14:paraId="74D15F2F" w14:textId="77777777" w:rsidR="000D2D0F" w:rsidRDefault="000D2D0F" w:rsidP="000E658E">
            <w:pPr>
              <w:rPr>
                <w:rFonts w:asciiTheme="minorHAnsi" w:hAnsiTheme="minorHAnsi"/>
                <w:sz w:val="20"/>
                <w:szCs w:val="20"/>
              </w:rPr>
            </w:pPr>
          </w:p>
        </w:tc>
        <w:tc>
          <w:tcPr>
            <w:tcW w:w="3870" w:type="dxa"/>
            <w:vAlign w:val="center"/>
          </w:tcPr>
          <w:p w14:paraId="1F3D8EE1" w14:textId="5502104D" w:rsidR="000D2D0F" w:rsidRDefault="000D2D0F" w:rsidP="000E658E">
            <w:pPr>
              <w:rPr>
                <w:rFonts w:asciiTheme="minorHAnsi" w:hAnsiTheme="minorHAnsi"/>
                <w:sz w:val="20"/>
                <w:szCs w:val="20"/>
              </w:rPr>
            </w:pPr>
            <w:r>
              <w:rPr>
                <w:rFonts w:asciiTheme="minorHAnsi" w:hAnsiTheme="minorHAnsi"/>
                <w:sz w:val="20"/>
                <w:szCs w:val="20"/>
              </w:rPr>
              <w:t xml:space="preserve">Foundation Medicine; </w:t>
            </w:r>
            <w:proofErr w:type="spellStart"/>
            <w:r>
              <w:rPr>
                <w:rFonts w:asciiTheme="minorHAnsi" w:hAnsiTheme="minorHAnsi"/>
                <w:sz w:val="20"/>
                <w:szCs w:val="20"/>
              </w:rPr>
              <w:t>Taiho</w:t>
            </w:r>
            <w:proofErr w:type="spellEnd"/>
            <w:r>
              <w:rPr>
                <w:rFonts w:asciiTheme="minorHAnsi" w:hAnsiTheme="minorHAnsi"/>
                <w:sz w:val="20"/>
                <w:szCs w:val="20"/>
              </w:rPr>
              <w:t xml:space="preserve"> Pharmaceutical; </w:t>
            </w:r>
            <w:proofErr w:type="spellStart"/>
            <w:r>
              <w:rPr>
                <w:rFonts w:asciiTheme="minorHAnsi" w:hAnsiTheme="minorHAnsi"/>
                <w:sz w:val="20"/>
                <w:szCs w:val="20"/>
              </w:rPr>
              <w:t>Teva</w:t>
            </w:r>
            <w:proofErr w:type="spellEnd"/>
            <w:r>
              <w:rPr>
                <w:rFonts w:asciiTheme="minorHAnsi" w:hAnsiTheme="minorHAnsi"/>
                <w:sz w:val="20"/>
                <w:szCs w:val="20"/>
              </w:rPr>
              <w:t>; GlaxoSmithKline; Pharma Mar</w:t>
            </w:r>
          </w:p>
        </w:tc>
        <w:tc>
          <w:tcPr>
            <w:tcW w:w="1975" w:type="dxa"/>
            <w:vAlign w:val="center"/>
          </w:tcPr>
          <w:p w14:paraId="179F0A82" w14:textId="69B9C679" w:rsidR="000D2D0F" w:rsidRDefault="000D2D0F" w:rsidP="000E658E">
            <w:pPr>
              <w:rPr>
                <w:rFonts w:asciiTheme="minorHAnsi" w:hAnsiTheme="minorHAnsi"/>
                <w:sz w:val="20"/>
                <w:szCs w:val="20"/>
              </w:rPr>
            </w:pPr>
            <w:r>
              <w:rPr>
                <w:rFonts w:asciiTheme="minorHAnsi" w:hAnsiTheme="minorHAnsi"/>
                <w:sz w:val="20"/>
                <w:szCs w:val="20"/>
              </w:rPr>
              <w:t>Grant or research support</w:t>
            </w:r>
          </w:p>
        </w:tc>
      </w:tr>
      <w:tr w:rsidR="000D2D0F" w:rsidRPr="00CF46D1" w14:paraId="3D8C6DC3" w14:textId="77777777" w:rsidTr="000D2D0F">
        <w:tc>
          <w:tcPr>
            <w:tcW w:w="1975" w:type="dxa"/>
            <w:vMerge/>
            <w:vAlign w:val="center"/>
          </w:tcPr>
          <w:p w14:paraId="62B87CF1" w14:textId="77777777" w:rsidR="000D2D0F" w:rsidRPr="00906D36" w:rsidRDefault="000D2D0F" w:rsidP="000E658E">
            <w:pPr>
              <w:rPr>
                <w:rFonts w:asciiTheme="minorHAnsi" w:hAnsiTheme="minorHAnsi"/>
                <w:sz w:val="20"/>
                <w:szCs w:val="20"/>
              </w:rPr>
            </w:pPr>
          </w:p>
        </w:tc>
        <w:tc>
          <w:tcPr>
            <w:tcW w:w="1260" w:type="dxa"/>
            <w:vMerge/>
            <w:vAlign w:val="center"/>
          </w:tcPr>
          <w:p w14:paraId="5A9E21F6" w14:textId="77777777" w:rsidR="000D2D0F" w:rsidRDefault="000D2D0F" w:rsidP="000E658E">
            <w:pPr>
              <w:rPr>
                <w:rFonts w:asciiTheme="minorHAnsi" w:hAnsiTheme="minorHAnsi"/>
                <w:sz w:val="20"/>
                <w:szCs w:val="20"/>
              </w:rPr>
            </w:pPr>
          </w:p>
        </w:tc>
        <w:tc>
          <w:tcPr>
            <w:tcW w:w="1710" w:type="dxa"/>
            <w:vMerge/>
            <w:vAlign w:val="center"/>
          </w:tcPr>
          <w:p w14:paraId="7F89B03B" w14:textId="77777777" w:rsidR="000D2D0F" w:rsidRDefault="000D2D0F" w:rsidP="000E658E">
            <w:pPr>
              <w:rPr>
                <w:rFonts w:asciiTheme="minorHAnsi" w:hAnsiTheme="minorHAnsi"/>
                <w:sz w:val="20"/>
                <w:szCs w:val="20"/>
              </w:rPr>
            </w:pPr>
          </w:p>
        </w:tc>
        <w:tc>
          <w:tcPr>
            <w:tcW w:w="3870" w:type="dxa"/>
            <w:vAlign w:val="center"/>
          </w:tcPr>
          <w:p w14:paraId="603ACDC7" w14:textId="3F2616D5" w:rsidR="000D2D0F" w:rsidRDefault="000D2D0F" w:rsidP="000E658E">
            <w:pPr>
              <w:rPr>
                <w:rFonts w:asciiTheme="minorHAnsi" w:hAnsiTheme="minorHAnsi"/>
                <w:sz w:val="20"/>
                <w:szCs w:val="20"/>
              </w:rPr>
            </w:pPr>
            <w:proofErr w:type="spellStart"/>
            <w:r>
              <w:rPr>
                <w:rFonts w:asciiTheme="minorHAnsi" w:hAnsiTheme="minorHAnsi"/>
                <w:sz w:val="20"/>
                <w:szCs w:val="20"/>
              </w:rPr>
              <w:t>mBrace</w:t>
            </w:r>
            <w:proofErr w:type="spellEnd"/>
            <w:r>
              <w:rPr>
                <w:rFonts w:asciiTheme="minorHAnsi" w:hAnsiTheme="minorHAnsi"/>
                <w:sz w:val="20"/>
                <w:szCs w:val="20"/>
              </w:rPr>
              <w:t xml:space="preserve">; </w:t>
            </w:r>
            <w:proofErr w:type="spellStart"/>
            <w:r>
              <w:rPr>
                <w:rFonts w:asciiTheme="minorHAnsi" w:hAnsiTheme="minorHAnsi"/>
                <w:sz w:val="20"/>
                <w:szCs w:val="20"/>
              </w:rPr>
              <w:t>Treeline</w:t>
            </w:r>
            <w:proofErr w:type="spellEnd"/>
          </w:p>
        </w:tc>
        <w:tc>
          <w:tcPr>
            <w:tcW w:w="1975" w:type="dxa"/>
            <w:vAlign w:val="center"/>
          </w:tcPr>
          <w:p w14:paraId="4AF53F5B" w14:textId="32E1884D" w:rsidR="000D2D0F" w:rsidRDefault="000D2D0F" w:rsidP="000D2D0F">
            <w:pPr>
              <w:rPr>
                <w:rFonts w:asciiTheme="minorHAnsi" w:hAnsiTheme="minorHAnsi"/>
                <w:sz w:val="20"/>
                <w:szCs w:val="20"/>
              </w:rPr>
            </w:pPr>
            <w:r>
              <w:rPr>
                <w:rFonts w:asciiTheme="minorHAnsi" w:hAnsiTheme="minorHAnsi"/>
                <w:sz w:val="20"/>
                <w:szCs w:val="20"/>
              </w:rPr>
              <w:t>Stocks or stock options, excluding diversified mutual funds</w:t>
            </w:r>
          </w:p>
        </w:tc>
      </w:tr>
      <w:tr w:rsidR="000D2D0F" w:rsidRPr="00CF46D1" w14:paraId="65FF3C01" w14:textId="77777777" w:rsidTr="000D2D0F">
        <w:tc>
          <w:tcPr>
            <w:tcW w:w="1975" w:type="dxa"/>
            <w:vMerge/>
            <w:vAlign w:val="center"/>
          </w:tcPr>
          <w:p w14:paraId="220B45B3" w14:textId="77777777" w:rsidR="000D2D0F" w:rsidRPr="00906D36" w:rsidRDefault="000D2D0F" w:rsidP="000E658E">
            <w:pPr>
              <w:rPr>
                <w:rFonts w:asciiTheme="minorHAnsi" w:hAnsiTheme="minorHAnsi"/>
                <w:sz w:val="20"/>
                <w:szCs w:val="20"/>
              </w:rPr>
            </w:pPr>
          </w:p>
        </w:tc>
        <w:tc>
          <w:tcPr>
            <w:tcW w:w="1260" w:type="dxa"/>
            <w:vMerge/>
            <w:vAlign w:val="center"/>
          </w:tcPr>
          <w:p w14:paraId="257DA418" w14:textId="77777777" w:rsidR="000D2D0F" w:rsidRDefault="000D2D0F" w:rsidP="000E658E">
            <w:pPr>
              <w:rPr>
                <w:rFonts w:asciiTheme="minorHAnsi" w:hAnsiTheme="minorHAnsi"/>
                <w:sz w:val="20"/>
                <w:szCs w:val="20"/>
              </w:rPr>
            </w:pPr>
          </w:p>
        </w:tc>
        <w:tc>
          <w:tcPr>
            <w:tcW w:w="1710" w:type="dxa"/>
            <w:vMerge/>
            <w:vAlign w:val="center"/>
          </w:tcPr>
          <w:p w14:paraId="600CEBCF" w14:textId="77777777" w:rsidR="000D2D0F" w:rsidRDefault="000D2D0F" w:rsidP="000E658E">
            <w:pPr>
              <w:rPr>
                <w:rFonts w:asciiTheme="minorHAnsi" w:hAnsiTheme="minorHAnsi"/>
                <w:sz w:val="20"/>
                <w:szCs w:val="20"/>
              </w:rPr>
            </w:pPr>
          </w:p>
        </w:tc>
        <w:tc>
          <w:tcPr>
            <w:tcW w:w="3870" w:type="dxa"/>
            <w:vAlign w:val="center"/>
          </w:tcPr>
          <w:p w14:paraId="6ABF3BCA" w14:textId="4697E1B7" w:rsidR="000D2D0F" w:rsidRDefault="000D2D0F" w:rsidP="000E658E">
            <w:pPr>
              <w:rPr>
                <w:rFonts w:asciiTheme="minorHAnsi" w:hAnsiTheme="minorHAnsi"/>
                <w:sz w:val="20"/>
                <w:szCs w:val="20"/>
              </w:rPr>
            </w:pPr>
            <w:r>
              <w:rPr>
                <w:rFonts w:asciiTheme="minorHAnsi" w:hAnsiTheme="minorHAnsi"/>
                <w:sz w:val="20"/>
                <w:szCs w:val="20"/>
              </w:rPr>
              <w:t xml:space="preserve">Wolters Kluwer; </w:t>
            </w:r>
            <w:proofErr w:type="spellStart"/>
            <w:r>
              <w:rPr>
                <w:rFonts w:asciiTheme="minorHAnsi" w:hAnsiTheme="minorHAnsi"/>
                <w:sz w:val="20"/>
                <w:szCs w:val="20"/>
              </w:rPr>
              <w:t>UpToDate</w:t>
            </w:r>
            <w:proofErr w:type="spellEnd"/>
            <w:r>
              <w:rPr>
                <w:rFonts w:asciiTheme="minorHAnsi" w:hAnsiTheme="minorHAnsi"/>
                <w:sz w:val="20"/>
                <w:szCs w:val="20"/>
              </w:rPr>
              <w:t xml:space="preserve">; </w:t>
            </w:r>
          </w:p>
        </w:tc>
        <w:tc>
          <w:tcPr>
            <w:tcW w:w="1975" w:type="dxa"/>
            <w:vAlign w:val="center"/>
          </w:tcPr>
          <w:p w14:paraId="45659B2F" w14:textId="50A56EFE" w:rsidR="000D2D0F" w:rsidRDefault="000D2D0F" w:rsidP="000D2D0F">
            <w:pPr>
              <w:rPr>
                <w:rFonts w:asciiTheme="minorHAnsi" w:hAnsiTheme="minorHAnsi"/>
                <w:sz w:val="20"/>
                <w:szCs w:val="20"/>
              </w:rPr>
            </w:pPr>
            <w:r>
              <w:rPr>
                <w:rFonts w:asciiTheme="minorHAnsi" w:hAnsiTheme="minorHAnsi"/>
                <w:sz w:val="20"/>
                <w:szCs w:val="20"/>
              </w:rPr>
              <w:t>Royalties or patent beneficiary</w:t>
            </w:r>
          </w:p>
        </w:tc>
      </w:tr>
      <w:tr w:rsidR="000D2D0F" w:rsidRPr="00CF46D1" w14:paraId="1B975B69" w14:textId="77777777" w:rsidTr="000D2D0F">
        <w:tc>
          <w:tcPr>
            <w:tcW w:w="1975" w:type="dxa"/>
            <w:vMerge/>
            <w:vAlign w:val="center"/>
          </w:tcPr>
          <w:p w14:paraId="4C3DA0CF" w14:textId="77777777" w:rsidR="000D2D0F" w:rsidRPr="00906D36" w:rsidRDefault="000D2D0F" w:rsidP="000E658E">
            <w:pPr>
              <w:rPr>
                <w:rFonts w:asciiTheme="minorHAnsi" w:hAnsiTheme="minorHAnsi"/>
                <w:sz w:val="20"/>
                <w:szCs w:val="20"/>
              </w:rPr>
            </w:pPr>
          </w:p>
        </w:tc>
        <w:tc>
          <w:tcPr>
            <w:tcW w:w="1260" w:type="dxa"/>
            <w:vMerge/>
            <w:vAlign w:val="center"/>
          </w:tcPr>
          <w:p w14:paraId="734EFBBD" w14:textId="77777777" w:rsidR="000D2D0F" w:rsidRDefault="000D2D0F" w:rsidP="000E658E">
            <w:pPr>
              <w:rPr>
                <w:rFonts w:asciiTheme="minorHAnsi" w:hAnsiTheme="minorHAnsi"/>
                <w:sz w:val="20"/>
                <w:szCs w:val="20"/>
              </w:rPr>
            </w:pPr>
          </w:p>
        </w:tc>
        <w:tc>
          <w:tcPr>
            <w:tcW w:w="1710" w:type="dxa"/>
            <w:vMerge/>
            <w:vAlign w:val="center"/>
          </w:tcPr>
          <w:p w14:paraId="381C79FF" w14:textId="77777777" w:rsidR="000D2D0F" w:rsidRDefault="000D2D0F" w:rsidP="000E658E">
            <w:pPr>
              <w:rPr>
                <w:rFonts w:asciiTheme="minorHAnsi" w:hAnsiTheme="minorHAnsi"/>
                <w:sz w:val="20"/>
                <w:szCs w:val="20"/>
              </w:rPr>
            </w:pPr>
          </w:p>
        </w:tc>
        <w:tc>
          <w:tcPr>
            <w:tcW w:w="3870" w:type="dxa"/>
            <w:vAlign w:val="center"/>
          </w:tcPr>
          <w:p w14:paraId="3780FAB0" w14:textId="703B158C" w:rsidR="000D2D0F" w:rsidRDefault="000D2D0F" w:rsidP="000E658E">
            <w:pPr>
              <w:rPr>
                <w:rFonts w:asciiTheme="minorHAnsi" w:hAnsiTheme="minorHAnsi"/>
                <w:sz w:val="20"/>
                <w:szCs w:val="20"/>
              </w:rPr>
            </w:pPr>
            <w:r>
              <w:rPr>
                <w:rFonts w:asciiTheme="minorHAnsi" w:hAnsiTheme="minorHAnsi"/>
                <w:sz w:val="20"/>
                <w:szCs w:val="20"/>
              </w:rPr>
              <w:t xml:space="preserve">Merck &amp; Co.; </w:t>
            </w:r>
            <w:proofErr w:type="spellStart"/>
            <w:r>
              <w:rPr>
                <w:rFonts w:asciiTheme="minorHAnsi" w:hAnsiTheme="minorHAnsi"/>
                <w:sz w:val="20"/>
                <w:szCs w:val="20"/>
              </w:rPr>
              <w:t>Boehringer</w:t>
            </w:r>
            <w:proofErr w:type="spellEnd"/>
            <w:r>
              <w:rPr>
                <w:rFonts w:asciiTheme="minorHAnsi" w:hAnsiTheme="minorHAnsi"/>
                <w:sz w:val="20"/>
                <w:szCs w:val="20"/>
              </w:rPr>
              <w:t xml:space="preserve"> </w:t>
            </w:r>
            <w:proofErr w:type="spellStart"/>
            <w:r>
              <w:rPr>
                <w:rFonts w:asciiTheme="minorHAnsi" w:hAnsiTheme="minorHAnsi"/>
                <w:sz w:val="20"/>
                <w:szCs w:val="20"/>
              </w:rPr>
              <w:t>Ingelheim</w:t>
            </w:r>
            <w:proofErr w:type="spellEnd"/>
            <w:r>
              <w:rPr>
                <w:rFonts w:asciiTheme="minorHAnsi" w:hAnsiTheme="minorHAnsi"/>
                <w:sz w:val="20"/>
                <w:szCs w:val="20"/>
              </w:rPr>
              <w:t>; Puma</w:t>
            </w:r>
          </w:p>
        </w:tc>
        <w:tc>
          <w:tcPr>
            <w:tcW w:w="1975" w:type="dxa"/>
            <w:vAlign w:val="center"/>
          </w:tcPr>
          <w:p w14:paraId="6A1DFD9D" w14:textId="118CA4B3" w:rsidR="000D2D0F" w:rsidRDefault="000D2D0F" w:rsidP="000D2D0F">
            <w:pPr>
              <w:rPr>
                <w:rFonts w:asciiTheme="minorHAnsi" w:hAnsiTheme="minorHAnsi"/>
                <w:sz w:val="20"/>
                <w:szCs w:val="20"/>
              </w:rPr>
            </w:pPr>
            <w:r>
              <w:rPr>
                <w:rFonts w:asciiTheme="minorHAnsi" w:hAnsiTheme="minorHAnsi"/>
                <w:sz w:val="20"/>
                <w:szCs w:val="20"/>
              </w:rPr>
              <w:t>Food/Beverage</w:t>
            </w:r>
          </w:p>
        </w:tc>
      </w:tr>
    </w:tbl>
    <w:p w14:paraId="1ED8B76A" w14:textId="77777777" w:rsidR="005D687A" w:rsidRPr="00977EB6" w:rsidRDefault="005D687A" w:rsidP="00C93498">
      <w:pPr>
        <w:rPr>
          <w:rFonts w:asciiTheme="minorHAnsi" w:hAnsiTheme="minorHAnsi"/>
        </w:rPr>
      </w:pPr>
    </w:p>
    <w:sectPr w:rsidR="005D687A" w:rsidRPr="00977EB6" w:rsidSect="00C93498">
      <w:footerReference w:type="default" r:id="rId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D2D0F"/>
    <w:rsid w:val="000E39FD"/>
    <w:rsid w:val="000E658E"/>
    <w:rsid w:val="00102E3E"/>
    <w:rsid w:val="001376F1"/>
    <w:rsid w:val="00165F69"/>
    <w:rsid w:val="001A763F"/>
    <w:rsid w:val="001E4BF3"/>
    <w:rsid w:val="0021756A"/>
    <w:rsid w:val="00260721"/>
    <w:rsid w:val="0028299B"/>
    <w:rsid w:val="002D1173"/>
    <w:rsid w:val="002F4AB5"/>
    <w:rsid w:val="0031464C"/>
    <w:rsid w:val="00341461"/>
    <w:rsid w:val="00355683"/>
    <w:rsid w:val="00357C4C"/>
    <w:rsid w:val="003C691A"/>
    <w:rsid w:val="003E1622"/>
    <w:rsid w:val="003F66FB"/>
    <w:rsid w:val="00483DDC"/>
    <w:rsid w:val="004C2A5E"/>
    <w:rsid w:val="004D536D"/>
    <w:rsid w:val="004F5896"/>
    <w:rsid w:val="004F75AA"/>
    <w:rsid w:val="005215E7"/>
    <w:rsid w:val="005C114C"/>
    <w:rsid w:val="005D687A"/>
    <w:rsid w:val="005F7A6E"/>
    <w:rsid w:val="0061508E"/>
    <w:rsid w:val="00632E69"/>
    <w:rsid w:val="00650E06"/>
    <w:rsid w:val="006555D8"/>
    <w:rsid w:val="006A2E9E"/>
    <w:rsid w:val="006A4239"/>
    <w:rsid w:val="006C2108"/>
    <w:rsid w:val="00710A31"/>
    <w:rsid w:val="00720047"/>
    <w:rsid w:val="007203CC"/>
    <w:rsid w:val="00782689"/>
    <w:rsid w:val="00790F6B"/>
    <w:rsid w:val="008051FA"/>
    <w:rsid w:val="00884FE8"/>
    <w:rsid w:val="00896743"/>
    <w:rsid w:val="008A6435"/>
    <w:rsid w:val="008B1807"/>
    <w:rsid w:val="008C0275"/>
    <w:rsid w:val="00906D36"/>
    <w:rsid w:val="00922708"/>
    <w:rsid w:val="009449C1"/>
    <w:rsid w:val="009453FD"/>
    <w:rsid w:val="00964628"/>
    <w:rsid w:val="00965086"/>
    <w:rsid w:val="00977EB6"/>
    <w:rsid w:val="009B6304"/>
    <w:rsid w:val="009C3982"/>
    <w:rsid w:val="009E41EB"/>
    <w:rsid w:val="009F0B46"/>
    <w:rsid w:val="009F425E"/>
    <w:rsid w:val="00A41379"/>
    <w:rsid w:val="00A42CDD"/>
    <w:rsid w:val="00A50DAA"/>
    <w:rsid w:val="00A53DE7"/>
    <w:rsid w:val="00A56D3A"/>
    <w:rsid w:val="00A8243C"/>
    <w:rsid w:val="00AF4C87"/>
    <w:rsid w:val="00B1119F"/>
    <w:rsid w:val="00B26176"/>
    <w:rsid w:val="00B45BFC"/>
    <w:rsid w:val="00B578B1"/>
    <w:rsid w:val="00B73515"/>
    <w:rsid w:val="00B864E8"/>
    <w:rsid w:val="00B96582"/>
    <w:rsid w:val="00BB46E7"/>
    <w:rsid w:val="00BB496D"/>
    <w:rsid w:val="00C007BD"/>
    <w:rsid w:val="00C02746"/>
    <w:rsid w:val="00C66AFC"/>
    <w:rsid w:val="00C74B49"/>
    <w:rsid w:val="00C85E86"/>
    <w:rsid w:val="00C93498"/>
    <w:rsid w:val="00CF46D1"/>
    <w:rsid w:val="00E125D3"/>
    <w:rsid w:val="00E23D20"/>
    <w:rsid w:val="00E6288E"/>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964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29159">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11383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1895660826?pwd=UGtPcUtnN0NMVG12cjhjdEFuNHNnUT09&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2024-11-06T20:35:00Z</dcterms:created>
  <dcterms:modified xsi:type="dcterms:W3CDTF">2024-11-06T20:35:00Z</dcterms:modified>
</cp:coreProperties>
</file>